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6B" w:rsidRPr="000E2413" w:rsidRDefault="0082106B" w:rsidP="0082106B">
      <w:pPr>
        <w:widowControl w:val="0"/>
        <w:autoSpaceDE w:val="0"/>
        <w:autoSpaceDN w:val="0"/>
        <w:adjustRightInd w:val="0"/>
        <w:jc w:val="center"/>
        <w:rPr>
          <w:rFonts w:ascii="Calibri" w:hAnsi="Calibri" w:cs="Calibri"/>
          <w:b/>
          <w:color w:val="000000"/>
        </w:rPr>
      </w:pPr>
      <w:r w:rsidRPr="000E2413">
        <w:rPr>
          <w:rFonts w:ascii="Calibri" w:hAnsi="Calibri" w:cs="Calibri"/>
          <w:b/>
          <w:color w:val="000000"/>
        </w:rPr>
        <w:t>ENROLLED ORDINANCE</w:t>
      </w:r>
    </w:p>
    <w:p w:rsidR="0082106B" w:rsidRPr="000E2413" w:rsidRDefault="0082106B" w:rsidP="0082106B">
      <w:pPr>
        <w:widowControl w:val="0"/>
        <w:autoSpaceDE w:val="0"/>
        <w:autoSpaceDN w:val="0"/>
        <w:adjustRightInd w:val="0"/>
        <w:jc w:val="center"/>
        <w:rPr>
          <w:rFonts w:ascii="Calibri" w:hAnsi="Calibri" w:cs="Times New Roman"/>
          <w:i/>
          <w:color w:val="333333"/>
          <w:shd w:val="clear" w:color="auto" w:fill="FFFFFF"/>
        </w:rPr>
      </w:pPr>
      <w:r w:rsidRPr="000E2413">
        <w:rPr>
          <w:rFonts w:ascii="Calibri" w:hAnsi="Calibri" w:cs="Calibri"/>
          <w:i/>
          <w:color w:val="000000"/>
        </w:rPr>
        <w:t xml:space="preserve">PUBLISHED PURSUANT TO CHAPTER 1 SECTION 4.5 OF THE REVISED ORDINANCES OF THE CITY OF EVERETT AND IN COMPLIANCE WITH MASSACHUSETTS </w:t>
      </w:r>
      <w:r w:rsidRPr="000E2413">
        <w:rPr>
          <w:rFonts w:ascii="Calibri" w:hAnsi="Calibri" w:cs="Times New Roman"/>
          <w:i/>
          <w:color w:val="333333"/>
          <w:shd w:val="clear" w:color="auto" w:fill="FFFFFF"/>
        </w:rPr>
        <w:t>GENERAL LAWS Chapter 43, Section 23.</w:t>
      </w:r>
    </w:p>
    <w:p w:rsidR="0082106B" w:rsidRPr="000E2413" w:rsidRDefault="0082106B" w:rsidP="0082106B">
      <w:pPr>
        <w:widowControl w:val="0"/>
        <w:autoSpaceDE w:val="0"/>
        <w:autoSpaceDN w:val="0"/>
        <w:adjustRightInd w:val="0"/>
        <w:jc w:val="center"/>
        <w:rPr>
          <w:rFonts w:ascii="Calibri" w:hAnsi="Calibri" w:cs="Times New Roman"/>
          <w:color w:val="333333"/>
          <w:shd w:val="clear" w:color="auto" w:fill="FFFFFF"/>
        </w:rPr>
      </w:pPr>
      <w:r w:rsidRPr="000E2413">
        <w:rPr>
          <w:rFonts w:ascii="Calibri" w:hAnsi="Calibri" w:cs="Times New Roman"/>
          <w:color w:val="333333"/>
          <w:shd w:val="clear" w:color="auto" w:fill="FFFFFF"/>
        </w:rPr>
        <w:t xml:space="preserve">ENROLLED: </w:t>
      </w:r>
      <w:r>
        <w:rPr>
          <w:rFonts w:ascii="Calibri" w:hAnsi="Calibri" w:cs="Times New Roman"/>
          <w:color w:val="333333"/>
          <w:shd w:val="clear" w:color="auto" w:fill="FFFFFF"/>
        </w:rPr>
        <w:t xml:space="preserve"> 12/21/2020</w:t>
      </w:r>
    </w:p>
    <w:p w:rsidR="0082106B" w:rsidRPr="000E2413" w:rsidRDefault="0082106B" w:rsidP="0082106B">
      <w:pPr>
        <w:widowControl w:val="0"/>
        <w:autoSpaceDE w:val="0"/>
        <w:autoSpaceDN w:val="0"/>
        <w:adjustRightInd w:val="0"/>
        <w:jc w:val="center"/>
        <w:rPr>
          <w:rFonts w:ascii="Calibri" w:hAnsi="Calibri" w:cs="Times New Roman"/>
          <w:color w:val="333333"/>
          <w:shd w:val="clear" w:color="auto" w:fill="FFFFFF"/>
        </w:rPr>
      </w:pPr>
      <w:r w:rsidRPr="000E2413">
        <w:rPr>
          <w:rFonts w:ascii="Calibri" w:hAnsi="Calibri" w:cs="Times New Roman"/>
          <w:color w:val="333333"/>
          <w:shd w:val="clear" w:color="auto" w:fill="FFFFFF"/>
        </w:rPr>
        <w:t xml:space="preserve">DATE OF PROPOSED ORDAINMENT: </w:t>
      </w:r>
      <w:r>
        <w:rPr>
          <w:rFonts w:ascii="Calibri" w:hAnsi="Calibri" w:cs="Times New Roman"/>
          <w:color w:val="333333"/>
          <w:shd w:val="clear" w:color="auto" w:fill="FFFFFF"/>
        </w:rPr>
        <w:t>1/25/2021</w:t>
      </w:r>
    </w:p>
    <w:p w:rsidR="0082106B" w:rsidRDefault="0082106B" w:rsidP="005A45C4">
      <w:pPr>
        <w:jc w:val="center"/>
      </w:pPr>
    </w:p>
    <w:p w:rsidR="005A45C4" w:rsidRPr="006A08A4" w:rsidRDefault="005A45C4" w:rsidP="005A45C4">
      <w:pPr>
        <w:jc w:val="center"/>
        <w:rPr>
          <w:rFonts w:asciiTheme="minorHAnsi" w:hAnsiTheme="minorHAnsi" w:cstheme="minorHAnsi"/>
          <w:b/>
        </w:rPr>
      </w:pPr>
      <w:r>
        <w:t xml:space="preserve">  </w:t>
      </w:r>
      <w:r w:rsidRPr="006A08A4">
        <w:rPr>
          <w:rFonts w:asciiTheme="minorHAnsi" w:hAnsiTheme="minorHAnsi" w:cstheme="minorHAnsi"/>
          <w:b/>
          <w:noProof/>
        </w:rPr>
        <w:drawing>
          <wp:inline distT="0" distB="0" distL="0" distR="0" wp14:anchorId="636B8949" wp14:editId="2F7EA9F6">
            <wp:extent cx="1156839" cy="118044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bmp"/>
                    <pic:cNvPicPr/>
                  </pic:nvPicPr>
                  <pic:blipFill>
                    <a:blip r:embed="rId7">
                      <a:extLst>
                        <a:ext uri="{28A0092B-C50C-407E-A947-70E740481C1C}">
                          <a14:useLocalDpi xmlns:a14="http://schemas.microsoft.com/office/drawing/2010/main" val="0"/>
                        </a:ext>
                      </a:extLst>
                    </a:blip>
                    <a:stretch>
                      <a:fillRect/>
                    </a:stretch>
                  </pic:blipFill>
                  <pic:spPr>
                    <a:xfrm>
                      <a:off x="0" y="0"/>
                      <a:ext cx="1156839" cy="1180448"/>
                    </a:xfrm>
                    <a:prstGeom prst="rect">
                      <a:avLst/>
                    </a:prstGeom>
                  </pic:spPr>
                </pic:pic>
              </a:graphicData>
            </a:graphic>
          </wp:inline>
        </w:drawing>
      </w:r>
    </w:p>
    <w:p w:rsidR="000410ED" w:rsidRPr="000410ED" w:rsidRDefault="000410ED" w:rsidP="000410ED">
      <w:pPr>
        <w:rPr>
          <w:b/>
        </w:rPr>
      </w:pPr>
    </w:p>
    <w:p w:rsidR="005A45C4" w:rsidRPr="006A08A4" w:rsidRDefault="005A45C4" w:rsidP="005A45C4">
      <w:pPr>
        <w:jc w:val="center"/>
        <w:rPr>
          <w:rFonts w:asciiTheme="minorHAnsi" w:hAnsiTheme="minorHAnsi" w:cstheme="minorHAnsi"/>
          <w:b/>
          <w:u w:val="single"/>
        </w:rPr>
      </w:pPr>
      <w:r w:rsidRPr="006A08A4">
        <w:rPr>
          <w:rFonts w:asciiTheme="minorHAnsi" w:hAnsiTheme="minorHAnsi" w:cstheme="minorHAnsi"/>
          <w:b/>
          <w:u w:val="single"/>
        </w:rPr>
        <w:t>CITY COUNCI</w:t>
      </w:r>
      <w:r>
        <w:rPr>
          <w:rFonts w:asciiTheme="minorHAnsi" w:hAnsiTheme="minorHAnsi" w:cstheme="minorHAnsi"/>
          <w:b/>
          <w:u w:val="single"/>
        </w:rPr>
        <w:t>L …………………………………………………………….No. C0</w:t>
      </w:r>
      <w:r w:rsidR="003749F8">
        <w:rPr>
          <w:rFonts w:asciiTheme="minorHAnsi" w:hAnsiTheme="minorHAnsi" w:cstheme="minorHAnsi"/>
          <w:b/>
          <w:u w:val="single"/>
        </w:rPr>
        <w:t>177</w:t>
      </w:r>
      <w:r w:rsidR="00D17A63">
        <w:rPr>
          <w:rFonts w:asciiTheme="minorHAnsi" w:hAnsiTheme="minorHAnsi" w:cstheme="minorHAnsi"/>
          <w:b/>
          <w:u w:val="single"/>
        </w:rPr>
        <w:t>-20</w:t>
      </w:r>
    </w:p>
    <w:p w:rsidR="005A45C4" w:rsidRPr="006A08A4" w:rsidRDefault="005A45C4" w:rsidP="005A45C4">
      <w:pPr>
        <w:jc w:val="center"/>
        <w:rPr>
          <w:rFonts w:asciiTheme="minorHAnsi" w:hAnsiTheme="minorHAnsi" w:cstheme="minorHAnsi"/>
          <w:b/>
          <w:u w:val="single"/>
        </w:rPr>
      </w:pPr>
    </w:p>
    <w:p w:rsidR="005A45C4" w:rsidRDefault="005A45C4" w:rsidP="005A45C4">
      <w:pPr>
        <w:jc w:val="center"/>
        <w:rPr>
          <w:rFonts w:asciiTheme="minorHAnsi" w:hAnsiTheme="minorHAnsi" w:cstheme="minorHAnsi"/>
        </w:rPr>
      </w:pPr>
      <w:r w:rsidRPr="006A08A4">
        <w:rPr>
          <w:rFonts w:asciiTheme="minorHAnsi" w:hAnsiTheme="minorHAnsi" w:cstheme="minorHAnsi"/>
        </w:rPr>
        <w:t xml:space="preserve">IN THE YEAR TWO THOUSAND AND </w:t>
      </w:r>
      <w:r w:rsidR="00D17A63">
        <w:rPr>
          <w:rFonts w:asciiTheme="minorHAnsi" w:hAnsiTheme="minorHAnsi" w:cstheme="minorHAnsi"/>
        </w:rPr>
        <w:t>TWENTY</w:t>
      </w:r>
    </w:p>
    <w:p w:rsidR="005A45C4" w:rsidRPr="006A08A4" w:rsidRDefault="005A45C4" w:rsidP="005A45C4">
      <w:pPr>
        <w:jc w:val="center"/>
        <w:rPr>
          <w:rFonts w:asciiTheme="minorHAnsi" w:hAnsiTheme="minorHAnsi" w:cstheme="minorHAnsi"/>
        </w:rPr>
      </w:pPr>
    </w:p>
    <w:p w:rsidR="005A45C4" w:rsidRDefault="005A45C4" w:rsidP="005A45C4">
      <w:pPr>
        <w:jc w:val="center"/>
        <w:rPr>
          <w:rFonts w:ascii="Calibri" w:eastAsiaTheme="minorHAnsi" w:hAnsi="Calibri" w:cs="Calibri"/>
          <w:b/>
          <w:bCs/>
          <w:sz w:val="28"/>
          <w:szCs w:val="28"/>
        </w:rPr>
      </w:pPr>
      <w:r w:rsidRPr="00337EC2">
        <w:rPr>
          <w:rFonts w:ascii="Calibri" w:eastAsiaTheme="minorHAnsi" w:hAnsi="Calibri" w:cs="Calibri"/>
          <w:b/>
          <w:bCs/>
          <w:sz w:val="28"/>
          <w:szCs w:val="28"/>
        </w:rPr>
        <w:t xml:space="preserve">An Order </w:t>
      </w:r>
      <w:r w:rsidR="003749F8">
        <w:rPr>
          <w:rFonts w:ascii="Calibri" w:eastAsiaTheme="minorHAnsi" w:hAnsi="Calibri" w:cs="Calibri"/>
          <w:b/>
          <w:bCs/>
          <w:sz w:val="28"/>
          <w:szCs w:val="28"/>
        </w:rPr>
        <w:t>creating an Affordable Housing Linkage Fee</w:t>
      </w:r>
      <w:r w:rsidR="004C762C">
        <w:rPr>
          <w:rFonts w:ascii="Calibri" w:eastAsiaTheme="minorHAnsi" w:hAnsi="Calibri" w:cs="Calibri"/>
          <w:b/>
          <w:bCs/>
          <w:sz w:val="28"/>
          <w:szCs w:val="28"/>
        </w:rPr>
        <w:t xml:space="preserve"> </w:t>
      </w:r>
    </w:p>
    <w:p w:rsidR="00655005" w:rsidRPr="005C2BF8" w:rsidRDefault="00655005" w:rsidP="005A45C4">
      <w:pPr>
        <w:jc w:val="center"/>
      </w:pPr>
    </w:p>
    <w:p w:rsidR="005A45C4" w:rsidRDefault="005A45C4" w:rsidP="005A45C4">
      <w:pPr>
        <w:autoSpaceDE w:val="0"/>
        <w:autoSpaceDN w:val="0"/>
        <w:adjustRightInd w:val="0"/>
        <w:jc w:val="center"/>
        <w:rPr>
          <w:rFonts w:ascii="Calibri" w:eastAsiaTheme="minorHAnsi" w:hAnsi="Calibri" w:cs="Calibri"/>
        </w:rPr>
      </w:pPr>
      <w:r>
        <w:rPr>
          <w:rFonts w:ascii="Calibri" w:eastAsiaTheme="minorHAnsi" w:hAnsi="Calibri" w:cs="Calibri"/>
        </w:rPr>
        <w:t>/s/</w:t>
      </w:r>
      <w:r w:rsidR="00D17A63">
        <w:rPr>
          <w:rFonts w:ascii="Calibri" w:eastAsiaTheme="minorHAnsi" w:hAnsi="Calibri" w:cs="Calibri"/>
        </w:rPr>
        <w:t xml:space="preserve">Rosa </w:t>
      </w:r>
      <w:proofErr w:type="spellStart"/>
      <w:r w:rsidR="00D17A63">
        <w:rPr>
          <w:rFonts w:ascii="Calibri" w:eastAsiaTheme="minorHAnsi" w:hAnsi="Calibri" w:cs="Calibri"/>
        </w:rPr>
        <w:t>Diflorio</w:t>
      </w:r>
      <w:proofErr w:type="spellEnd"/>
      <w:r>
        <w:rPr>
          <w:rFonts w:ascii="Calibri" w:eastAsiaTheme="minorHAnsi" w:hAnsi="Calibri" w:cs="Calibri"/>
        </w:rPr>
        <w:t>, as President</w:t>
      </w:r>
    </w:p>
    <w:p w:rsidR="005A45C4" w:rsidRPr="009845AA" w:rsidRDefault="005A45C4" w:rsidP="005A45C4">
      <w:pPr>
        <w:autoSpaceDE w:val="0"/>
        <w:autoSpaceDN w:val="0"/>
        <w:adjustRightInd w:val="0"/>
        <w:jc w:val="center"/>
        <w:rPr>
          <w:rFonts w:asciiTheme="minorHAnsi" w:eastAsiaTheme="minorHAnsi" w:hAnsiTheme="minorHAnsi" w:cs="Calibri"/>
          <w:sz w:val="22"/>
          <w:szCs w:val="22"/>
        </w:rPr>
      </w:pPr>
    </w:p>
    <w:p w:rsidR="005A45C4" w:rsidRPr="00E52E1B" w:rsidRDefault="005A45C4" w:rsidP="005A45C4">
      <w:pPr>
        <w:rPr>
          <w:rFonts w:asciiTheme="minorHAnsi" w:hAnsiTheme="minorHAnsi"/>
          <w:sz w:val="22"/>
          <w:szCs w:val="22"/>
        </w:rPr>
      </w:pPr>
      <w:r w:rsidRPr="00E52E1B">
        <w:rPr>
          <w:rFonts w:asciiTheme="minorHAnsi" w:hAnsiTheme="minorHAnsi"/>
          <w:sz w:val="22"/>
          <w:szCs w:val="22"/>
        </w:rPr>
        <w:t>Be it</w:t>
      </w:r>
    </w:p>
    <w:p w:rsidR="005A45C4" w:rsidRPr="00E52E1B" w:rsidRDefault="005A45C4" w:rsidP="005A45C4">
      <w:pPr>
        <w:rPr>
          <w:rFonts w:asciiTheme="minorHAnsi" w:hAnsiTheme="minorHAnsi"/>
          <w:sz w:val="22"/>
          <w:szCs w:val="22"/>
        </w:rPr>
      </w:pPr>
      <w:r w:rsidRPr="00E52E1B">
        <w:rPr>
          <w:rFonts w:asciiTheme="minorHAnsi" w:hAnsiTheme="minorHAnsi"/>
          <w:sz w:val="22"/>
          <w:szCs w:val="22"/>
        </w:rPr>
        <w:t>Ordered: By the City Council of the City of Everett, Massachusetts, as follows:</w:t>
      </w:r>
    </w:p>
    <w:p w:rsidR="005A45C4" w:rsidRDefault="005A45C4" w:rsidP="005A45C4"/>
    <w:p w:rsidR="003749F8" w:rsidRPr="003749F8" w:rsidRDefault="003749F8" w:rsidP="003749F8">
      <w:pPr>
        <w:rPr>
          <w:rFonts w:asciiTheme="minorHAnsi" w:hAnsiTheme="minorHAnsi"/>
        </w:rPr>
      </w:pPr>
      <w:r w:rsidRPr="003749F8">
        <w:rPr>
          <w:rFonts w:asciiTheme="minorHAnsi" w:hAnsiTheme="minorHAnsi"/>
        </w:rPr>
        <w:lastRenderedPageBreak/>
        <w:t xml:space="preserve">In accordance with the provisions of Chapter </w:t>
      </w:r>
      <w:r w:rsidR="000E3C36">
        <w:rPr>
          <w:rFonts w:asciiTheme="minorHAnsi" w:hAnsiTheme="minorHAnsi"/>
        </w:rPr>
        <w:t>1</w:t>
      </w:r>
      <w:r w:rsidRPr="003749F8">
        <w:rPr>
          <w:rFonts w:asciiTheme="minorHAnsi" w:hAnsiTheme="minorHAnsi"/>
        </w:rPr>
        <w:t xml:space="preserve"> Section </w:t>
      </w:r>
      <w:r w:rsidR="000E3C36">
        <w:rPr>
          <w:rFonts w:asciiTheme="minorHAnsi" w:hAnsiTheme="minorHAnsi"/>
        </w:rPr>
        <w:t>1</w:t>
      </w:r>
      <w:r w:rsidRPr="003749F8">
        <w:rPr>
          <w:rFonts w:asciiTheme="minorHAnsi" w:hAnsiTheme="minorHAnsi"/>
        </w:rPr>
        <w:t>-5 of the Revised Ordinances of the City of Everett the city council hereby amends the ordinance as follows:</w:t>
      </w:r>
    </w:p>
    <w:p w:rsidR="003749F8" w:rsidRPr="003749F8" w:rsidRDefault="003749F8" w:rsidP="003749F8">
      <w:pPr>
        <w:rPr>
          <w:rFonts w:asciiTheme="minorHAnsi" w:hAnsiTheme="minorHAnsi"/>
        </w:rPr>
      </w:pPr>
    </w:p>
    <w:p w:rsidR="003749F8" w:rsidRPr="003749F8" w:rsidRDefault="003749F8" w:rsidP="003749F8">
      <w:pPr>
        <w:rPr>
          <w:rFonts w:asciiTheme="minorHAnsi" w:hAnsiTheme="minorHAnsi"/>
        </w:rPr>
      </w:pPr>
      <w:r w:rsidRPr="003749F8">
        <w:rPr>
          <w:rFonts w:asciiTheme="minorHAnsi" w:hAnsiTheme="minorHAnsi"/>
        </w:rPr>
        <w:t>Add the following new Section 4-5 – Affordable Housing Linkage Ordinance</w:t>
      </w:r>
    </w:p>
    <w:p w:rsidR="003749F8" w:rsidRPr="003749F8" w:rsidRDefault="003749F8" w:rsidP="003749F8">
      <w:pPr>
        <w:rPr>
          <w:rFonts w:asciiTheme="minorHAnsi" w:hAnsiTheme="minorHAnsi"/>
        </w:rPr>
      </w:pPr>
    </w:p>
    <w:p w:rsidR="003749F8" w:rsidRPr="003749F8" w:rsidRDefault="003749F8" w:rsidP="003749F8">
      <w:pPr>
        <w:rPr>
          <w:rFonts w:asciiTheme="minorHAnsi" w:hAnsiTheme="minorHAnsi"/>
        </w:rPr>
      </w:pPr>
      <w:r w:rsidRPr="003749F8">
        <w:rPr>
          <w:rFonts w:asciiTheme="minorHAnsi" w:hAnsiTheme="minorHAnsi"/>
        </w:rPr>
        <w:t xml:space="preserve">The purpose of this Section is to ensure that new developments within the City of Everett bear a proportional or reasonably related share of the cost of development of new, expanded or redeveloped housing that matches the income of the current and future residents of Everett that are unable to pay market prices for safe and sanitary housing. </w:t>
      </w:r>
    </w:p>
    <w:p w:rsidR="003749F8" w:rsidRPr="003749F8" w:rsidRDefault="003749F8" w:rsidP="003749F8">
      <w:pPr>
        <w:rPr>
          <w:rFonts w:asciiTheme="minorHAnsi" w:hAnsiTheme="minorHAnsi"/>
        </w:rPr>
      </w:pPr>
    </w:p>
    <w:p w:rsidR="003749F8" w:rsidRPr="003749F8" w:rsidRDefault="003749F8" w:rsidP="003749F8">
      <w:pPr>
        <w:rPr>
          <w:rFonts w:asciiTheme="minorHAnsi" w:hAnsiTheme="minorHAnsi"/>
        </w:rPr>
      </w:pPr>
      <w:r w:rsidRPr="003749F8">
        <w:rPr>
          <w:rFonts w:asciiTheme="minorHAnsi" w:hAnsiTheme="minorHAnsi"/>
        </w:rPr>
        <w:t>The ordinance shall include but not</w:t>
      </w:r>
      <w:r w:rsidR="00905E91">
        <w:rPr>
          <w:rFonts w:asciiTheme="minorHAnsi" w:hAnsiTheme="minorHAnsi"/>
        </w:rPr>
        <w:t xml:space="preserve"> be</w:t>
      </w:r>
      <w:r w:rsidRPr="003749F8">
        <w:rPr>
          <w:rFonts w:asciiTheme="minorHAnsi" w:hAnsiTheme="minorHAnsi"/>
        </w:rPr>
        <w:t xml:space="preserve"> limited to terms of applicability, calculation of Linkage Fee, Schedule, and Administrative Rules and Regulations.</w:t>
      </w:r>
    </w:p>
    <w:p w:rsidR="003749F8" w:rsidRPr="003749F8" w:rsidRDefault="003749F8" w:rsidP="003749F8">
      <w:pPr>
        <w:rPr>
          <w:rFonts w:asciiTheme="minorHAnsi" w:hAnsiTheme="minorHAnsi"/>
        </w:rPr>
      </w:pPr>
    </w:p>
    <w:p w:rsidR="003749F8" w:rsidRPr="003749F8" w:rsidRDefault="003749F8" w:rsidP="003749F8">
      <w:r w:rsidRPr="003749F8">
        <w:rPr>
          <w:rFonts w:asciiTheme="minorHAnsi" w:hAnsiTheme="minorHAnsi"/>
        </w:rPr>
        <w:t>This Section shall be enacted pursuant to Chapter 356 of the Acts of 2016 authorizing the City of Everett to establish an affordable housing linkage ordinance</w:t>
      </w:r>
      <w:r w:rsidRPr="003749F8">
        <w:t>.</w:t>
      </w:r>
    </w:p>
    <w:p w:rsidR="005A45C4" w:rsidRDefault="005A45C4" w:rsidP="003749F8">
      <w:pPr>
        <w:rPr>
          <w:rFonts w:asciiTheme="minorHAnsi" w:hAnsiTheme="minorHAnsi" w:cstheme="minorHAnsi"/>
        </w:rPr>
      </w:pPr>
    </w:p>
    <w:p w:rsidR="00515D5D" w:rsidRPr="004D23DE" w:rsidRDefault="00515D5D" w:rsidP="00515D5D">
      <w:pPr>
        <w:ind w:left="360"/>
        <w:rPr>
          <w:rFonts w:ascii="Times New Roman" w:hAnsi="Times New Roman" w:cs="Times New Roman"/>
        </w:rPr>
      </w:pPr>
      <w:r>
        <w:rPr>
          <w:rFonts w:ascii="Times New Roman" w:hAnsi="Times New Roman" w:cs="Times New Roman"/>
        </w:rPr>
        <w:t xml:space="preserve">Section </w:t>
      </w:r>
      <w:r w:rsidR="000E3C36">
        <w:rPr>
          <w:rFonts w:ascii="Times New Roman" w:hAnsi="Times New Roman" w:cs="Times New Roman"/>
        </w:rPr>
        <w:t>4-5</w:t>
      </w:r>
      <w:r w:rsidRPr="004D23DE">
        <w:rPr>
          <w:rFonts w:ascii="Times New Roman" w:hAnsi="Times New Roman" w:cs="Times New Roman"/>
        </w:rPr>
        <w:t>:  Linkage Requirements for Affordable Housing</w:t>
      </w:r>
    </w:p>
    <w:p w:rsidR="00515D5D" w:rsidRPr="004D23DE" w:rsidRDefault="00515D5D" w:rsidP="00515D5D">
      <w:pPr>
        <w:ind w:left="360"/>
        <w:rPr>
          <w:rFonts w:ascii="Times New Roman" w:hAnsi="Times New Roman" w:cs="Times New Roman"/>
        </w:rPr>
      </w:pPr>
    </w:p>
    <w:p w:rsidR="00515D5D" w:rsidRPr="004D23DE" w:rsidRDefault="00515D5D" w:rsidP="00515D5D">
      <w:pPr>
        <w:pStyle w:val="ListParagraph"/>
        <w:numPr>
          <w:ilvl w:val="0"/>
          <w:numId w:val="7"/>
        </w:numPr>
        <w:rPr>
          <w:rFonts w:ascii="Times New Roman" w:hAnsi="Times New Roman" w:cs="Times New Roman"/>
        </w:rPr>
      </w:pPr>
      <w:r w:rsidRPr="004D23DE">
        <w:rPr>
          <w:rFonts w:ascii="Times New Roman" w:hAnsi="Times New Roman" w:cs="Times New Roman"/>
        </w:rPr>
        <w:t>Authority</w:t>
      </w:r>
    </w:p>
    <w:p w:rsidR="00515D5D" w:rsidRPr="004D23DE" w:rsidRDefault="00515D5D" w:rsidP="00515D5D">
      <w:pPr>
        <w:rPr>
          <w:rFonts w:ascii="Times New Roman" w:hAnsi="Times New Roman" w:cs="Times New Roman"/>
        </w:rPr>
      </w:pPr>
    </w:p>
    <w:p w:rsidR="00515D5D" w:rsidRPr="004D23DE" w:rsidRDefault="00515D5D" w:rsidP="00515D5D">
      <w:pPr>
        <w:rPr>
          <w:rFonts w:ascii="Times New Roman" w:hAnsi="Times New Roman" w:cs="Times New Roman"/>
        </w:rPr>
      </w:pPr>
      <w:r w:rsidRPr="004D23DE">
        <w:rPr>
          <w:rFonts w:ascii="Times New Roman" w:hAnsi="Times New Roman" w:cs="Times New Roman"/>
        </w:rPr>
        <w:t>This Section is enacted pursuant to Chapter 356 of the Acts of 2016 authorizing the City of Everett to establish an affordable housing linkage ordinance.</w:t>
      </w:r>
    </w:p>
    <w:p w:rsidR="00515D5D" w:rsidRPr="004D23DE" w:rsidRDefault="00515D5D" w:rsidP="00515D5D">
      <w:pPr>
        <w:rPr>
          <w:rFonts w:ascii="Times New Roman" w:hAnsi="Times New Roman" w:cs="Times New Roman"/>
        </w:rPr>
      </w:pPr>
    </w:p>
    <w:p w:rsidR="00515D5D" w:rsidRPr="004D23DE" w:rsidRDefault="00515D5D" w:rsidP="00515D5D">
      <w:pPr>
        <w:pStyle w:val="ListParagraph"/>
        <w:numPr>
          <w:ilvl w:val="0"/>
          <w:numId w:val="7"/>
        </w:numPr>
        <w:rPr>
          <w:rFonts w:ascii="Times New Roman" w:hAnsi="Times New Roman" w:cs="Times New Roman"/>
        </w:rPr>
      </w:pPr>
      <w:r w:rsidRPr="004D23DE">
        <w:rPr>
          <w:rFonts w:ascii="Times New Roman" w:hAnsi="Times New Roman" w:cs="Times New Roman"/>
        </w:rPr>
        <w:lastRenderedPageBreak/>
        <w:t>Purpose</w:t>
      </w:r>
    </w:p>
    <w:p w:rsidR="00515D5D" w:rsidRPr="004D23DE" w:rsidRDefault="00515D5D" w:rsidP="00515D5D">
      <w:pPr>
        <w:rPr>
          <w:rFonts w:ascii="Times New Roman" w:hAnsi="Times New Roman" w:cs="Times New Roman"/>
        </w:rPr>
      </w:pPr>
    </w:p>
    <w:p w:rsidR="00515D5D" w:rsidRPr="004D23DE" w:rsidRDefault="00515D5D" w:rsidP="00515D5D">
      <w:pPr>
        <w:rPr>
          <w:rFonts w:ascii="Times New Roman" w:hAnsi="Times New Roman" w:cs="Times New Roman"/>
        </w:rPr>
      </w:pPr>
      <w:r w:rsidRPr="004D23DE">
        <w:rPr>
          <w:rFonts w:ascii="Times New Roman" w:hAnsi="Times New Roman" w:cs="Times New Roman"/>
        </w:rPr>
        <w:t>The purpose of this Section is to ensure that new developments within the City of Everett bear a proportional or reasonably related share of the cost of development of new, expanded or redeveloped housing that matches the income of the current and future residents of Everett that are unable to pay market prices for safe and sanitary housing.</w:t>
      </w:r>
    </w:p>
    <w:p w:rsidR="00515D5D" w:rsidRPr="004D23DE" w:rsidRDefault="00515D5D" w:rsidP="00515D5D">
      <w:pPr>
        <w:rPr>
          <w:rFonts w:ascii="Times New Roman" w:hAnsi="Times New Roman" w:cs="Times New Roman"/>
        </w:rPr>
      </w:pPr>
    </w:p>
    <w:p w:rsidR="00515D5D" w:rsidRPr="004D23DE" w:rsidRDefault="00515D5D" w:rsidP="00515D5D">
      <w:pPr>
        <w:pStyle w:val="ListParagraph"/>
        <w:numPr>
          <w:ilvl w:val="0"/>
          <w:numId w:val="7"/>
        </w:numPr>
        <w:rPr>
          <w:rFonts w:ascii="Times New Roman" w:hAnsi="Times New Roman" w:cs="Times New Roman"/>
        </w:rPr>
      </w:pPr>
      <w:r w:rsidRPr="004D23DE">
        <w:rPr>
          <w:rFonts w:ascii="Times New Roman" w:hAnsi="Times New Roman" w:cs="Times New Roman"/>
        </w:rPr>
        <w:t>Applicability</w:t>
      </w:r>
    </w:p>
    <w:p w:rsidR="00515D5D" w:rsidRPr="004D23DE" w:rsidRDefault="00515D5D" w:rsidP="00515D5D">
      <w:pPr>
        <w:rPr>
          <w:rFonts w:ascii="Times New Roman" w:hAnsi="Times New Roman" w:cs="Times New Roman"/>
        </w:rPr>
      </w:pPr>
    </w:p>
    <w:p w:rsidR="00515D5D" w:rsidRPr="004D23DE" w:rsidRDefault="00712AFC" w:rsidP="00515D5D">
      <w:pPr>
        <w:rPr>
          <w:rFonts w:ascii="Times New Roman" w:hAnsi="Times New Roman" w:cs="Times New Roman"/>
        </w:rPr>
      </w:pPr>
      <w:r>
        <w:rPr>
          <w:rFonts w:ascii="Times New Roman" w:hAnsi="Times New Roman" w:cs="Times New Roman"/>
        </w:rPr>
        <w:t>The following d</w:t>
      </w:r>
      <w:r w:rsidR="00515D5D" w:rsidRPr="004D23DE">
        <w:rPr>
          <w:rFonts w:ascii="Times New Roman" w:hAnsi="Times New Roman" w:cs="Times New Roman"/>
        </w:rPr>
        <w:t>evelopments</w:t>
      </w:r>
      <w:r>
        <w:rPr>
          <w:rFonts w:ascii="Times New Roman" w:hAnsi="Times New Roman" w:cs="Times New Roman"/>
        </w:rPr>
        <w:t xml:space="preserve"> </w:t>
      </w:r>
      <w:r w:rsidR="00515D5D" w:rsidRPr="004D23DE">
        <w:rPr>
          <w:rFonts w:ascii="Times New Roman" w:hAnsi="Times New Roman" w:cs="Times New Roman"/>
        </w:rPr>
        <w:t>shall be subject to the requirements of this Section, with the exception of any municipal buildings or buildings owned or to be owned by the state or federal government.</w:t>
      </w:r>
    </w:p>
    <w:p w:rsidR="00515D5D" w:rsidRPr="004D23DE" w:rsidRDefault="00515D5D" w:rsidP="00515D5D">
      <w:pPr>
        <w:rPr>
          <w:rFonts w:ascii="Times New Roman" w:hAnsi="Times New Roman" w:cs="Times New Roman"/>
        </w:rPr>
      </w:pPr>
    </w:p>
    <w:p w:rsidR="00515D5D" w:rsidRDefault="00515D5D" w:rsidP="00515D5D">
      <w:pPr>
        <w:pStyle w:val="ListParagraph"/>
        <w:numPr>
          <w:ilvl w:val="0"/>
          <w:numId w:val="8"/>
        </w:numPr>
        <w:rPr>
          <w:rFonts w:ascii="Times New Roman" w:hAnsi="Times New Roman" w:cs="Times New Roman"/>
        </w:rPr>
      </w:pPr>
      <w:r w:rsidRPr="004D23DE">
        <w:rPr>
          <w:rFonts w:ascii="Times New Roman" w:hAnsi="Times New Roman" w:cs="Times New Roman"/>
        </w:rPr>
        <w:t xml:space="preserve"> Any new building or structure or addition to existing buildings or structures that results in </w:t>
      </w:r>
      <w:r w:rsidR="00984AC3">
        <w:rPr>
          <w:rFonts w:ascii="Times New Roman" w:hAnsi="Times New Roman" w:cs="Times New Roman"/>
        </w:rPr>
        <w:t xml:space="preserve">a </w:t>
      </w:r>
      <w:r w:rsidR="005B6BB7">
        <w:rPr>
          <w:rFonts w:ascii="Times New Roman" w:hAnsi="Times New Roman" w:cs="Times New Roman"/>
        </w:rPr>
        <w:t>one</w:t>
      </w:r>
      <w:r w:rsidRPr="004D23DE">
        <w:rPr>
          <w:rFonts w:ascii="Times New Roman" w:hAnsi="Times New Roman" w:cs="Times New Roman"/>
        </w:rPr>
        <w:t xml:space="preserve"> or more </w:t>
      </w:r>
      <w:r w:rsidR="005B6BB7">
        <w:rPr>
          <w:rFonts w:ascii="Times New Roman" w:hAnsi="Times New Roman" w:cs="Times New Roman"/>
        </w:rPr>
        <w:t xml:space="preserve">new </w:t>
      </w:r>
      <w:r w:rsidRPr="004D23DE">
        <w:rPr>
          <w:rFonts w:ascii="Times New Roman" w:hAnsi="Times New Roman" w:cs="Times New Roman"/>
        </w:rPr>
        <w:t>residential dwelling units;</w:t>
      </w:r>
    </w:p>
    <w:p w:rsidR="00515D5D" w:rsidRPr="004D23DE" w:rsidRDefault="00515D5D" w:rsidP="00515D5D">
      <w:pPr>
        <w:pStyle w:val="ListParagraph"/>
        <w:ind w:left="1080"/>
        <w:rPr>
          <w:rFonts w:ascii="Times New Roman" w:hAnsi="Times New Roman" w:cs="Times New Roman"/>
        </w:rPr>
      </w:pPr>
    </w:p>
    <w:p w:rsidR="00515D5D" w:rsidRDefault="00515D5D" w:rsidP="00515D5D">
      <w:pPr>
        <w:pStyle w:val="ListParagraph"/>
        <w:numPr>
          <w:ilvl w:val="0"/>
          <w:numId w:val="8"/>
        </w:numPr>
        <w:rPr>
          <w:rFonts w:ascii="Times New Roman" w:hAnsi="Times New Roman" w:cs="Times New Roman"/>
        </w:rPr>
      </w:pPr>
      <w:r w:rsidRPr="004D23DE">
        <w:rPr>
          <w:rFonts w:ascii="Times New Roman" w:hAnsi="Times New Roman" w:cs="Times New Roman"/>
        </w:rPr>
        <w:t>Any new non-residential buildings or structures or any addition to existing buildings or structures that will result in a total of gro</w:t>
      </w:r>
      <w:r w:rsidR="0015479B">
        <w:rPr>
          <w:rFonts w:ascii="Times New Roman" w:hAnsi="Times New Roman" w:cs="Times New Roman"/>
        </w:rPr>
        <w:t xml:space="preserve">ss square footage greater than </w:t>
      </w:r>
      <w:r w:rsidR="00C432A0">
        <w:rPr>
          <w:rFonts w:ascii="Times New Roman" w:hAnsi="Times New Roman" w:cs="Times New Roman"/>
        </w:rPr>
        <w:t>15</w:t>
      </w:r>
      <w:r w:rsidRPr="004D23DE">
        <w:rPr>
          <w:rFonts w:ascii="Times New Roman" w:hAnsi="Times New Roman" w:cs="Times New Roman"/>
        </w:rPr>
        <w:t xml:space="preserve">,000 square feet; and </w:t>
      </w:r>
    </w:p>
    <w:p w:rsidR="00515D5D" w:rsidRPr="00075F03" w:rsidRDefault="00515D5D" w:rsidP="00515D5D">
      <w:pPr>
        <w:rPr>
          <w:rFonts w:ascii="Times New Roman" w:hAnsi="Times New Roman" w:cs="Times New Roman"/>
        </w:rPr>
      </w:pPr>
    </w:p>
    <w:p w:rsidR="00515D5D" w:rsidRPr="004D23DE" w:rsidRDefault="00515D5D" w:rsidP="00515D5D">
      <w:pPr>
        <w:pStyle w:val="ListParagraph"/>
        <w:numPr>
          <w:ilvl w:val="0"/>
          <w:numId w:val="8"/>
        </w:numPr>
        <w:rPr>
          <w:rFonts w:ascii="Times New Roman" w:hAnsi="Times New Roman" w:cs="Times New Roman"/>
        </w:rPr>
      </w:pPr>
      <w:r w:rsidRPr="004D23DE">
        <w:rPr>
          <w:rFonts w:ascii="Times New Roman" w:hAnsi="Times New Roman" w:cs="Times New Roman"/>
        </w:rPr>
        <w:t xml:space="preserve">Any change of use which results in a net increase in the linkage fee as set forth in </w:t>
      </w:r>
      <w:r w:rsidR="007F5C64">
        <w:rPr>
          <w:rFonts w:ascii="Times New Roman" w:hAnsi="Times New Roman" w:cs="Times New Roman"/>
        </w:rPr>
        <w:t>Table 1</w:t>
      </w:r>
      <w:r w:rsidRPr="004D23DE">
        <w:rPr>
          <w:rFonts w:ascii="Times New Roman" w:hAnsi="Times New Roman" w:cs="Times New Roman"/>
        </w:rPr>
        <w:t>, below.</w:t>
      </w:r>
    </w:p>
    <w:p w:rsidR="00515D5D" w:rsidRPr="004D23DE" w:rsidRDefault="00515D5D" w:rsidP="00515D5D">
      <w:pPr>
        <w:rPr>
          <w:rFonts w:ascii="Times New Roman" w:hAnsi="Times New Roman" w:cs="Times New Roman"/>
        </w:rPr>
      </w:pPr>
    </w:p>
    <w:p w:rsidR="00515D5D" w:rsidRPr="004D23DE" w:rsidRDefault="00515D5D" w:rsidP="00515D5D">
      <w:pPr>
        <w:pStyle w:val="ListParagraph"/>
        <w:numPr>
          <w:ilvl w:val="0"/>
          <w:numId w:val="7"/>
        </w:numPr>
        <w:rPr>
          <w:rFonts w:ascii="Times New Roman" w:hAnsi="Times New Roman" w:cs="Times New Roman"/>
        </w:rPr>
      </w:pPr>
      <w:r w:rsidRPr="004D23DE">
        <w:rPr>
          <w:rFonts w:ascii="Times New Roman" w:hAnsi="Times New Roman" w:cs="Times New Roman"/>
        </w:rPr>
        <w:t>Calculation of Linkage Fee</w:t>
      </w:r>
    </w:p>
    <w:p w:rsidR="00515D5D" w:rsidRPr="004D23DE" w:rsidRDefault="00515D5D" w:rsidP="00515D5D">
      <w:pPr>
        <w:rPr>
          <w:rFonts w:ascii="Times New Roman" w:hAnsi="Times New Roman" w:cs="Times New Roman"/>
        </w:rPr>
      </w:pPr>
    </w:p>
    <w:p w:rsidR="00342196" w:rsidRDefault="00515D5D" w:rsidP="00515D5D">
      <w:pPr>
        <w:pStyle w:val="ListParagraph"/>
        <w:numPr>
          <w:ilvl w:val="0"/>
          <w:numId w:val="9"/>
        </w:numPr>
        <w:rPr>
          <w:rFonts w:ascii="Times New Roman" w:hAnsi="Times New Roman" w:cs="Times New Roman"/>
        </w:rPr>
      </w:pPr>
      <w:r w:rsidRPr="004D23DE">
        <w:rPr>
          <w:rFonts w:ascii="Times New Roman" w:hAnsi="Times New Roman" w:cs="Times New Roman"/>
        </w:rPr>
        <w:t xml:space="preserve">In General.  </w:t>
      </w:r>
    </w:p>
    <w:p w:rsidR="004A003B" w:rsidRDefault="004A003B" w:rsidP="00342196">
      <w:pPr>
        <w:pStyle w:val="ListParagraph"/>
        <w:ind w:left="1080"/>
        <w:rPr>
          <w:rFonts w:ascii="Times New Roman" w:hAnsi="Times New Roman" w:cs="Times New Roman"/>
        </w:rPr>
      </w:pPr>
    </w:p>
    <w:p w:rsidR="00515D5D" w:rsidRDefault="00515D5D" w:rsidP="004A003B">
      <w:pPr>
        <w:pStyle w:val="ListParagraph"/>
        <w:ind w:left="0"/>
        <w:rPr>
          <w:rFonts w:ascii="Times New Roman" w:hAnsi="Times New Roman" w:cs="Times New Roman"/>
        </w:rPr>
      </w:pPr>
      <w:r w:rsidRPr="004D23DE">
        <w:rPr>
          <w:rFonts w:ascii="Times New Roman" w:hAnsi="Times New Roman" w:cs="Times New Roman"/>
        </w:rPr>
        <w:lastRenderedPageBreak/>
        <w:t>Linkage fees shall be calculated based upon the linkage fee schedule in effect at the time of submittal of a complete application for a building permit.</w:t>
      </w:r>
    </w:p>
    <w:p w:rsidR="00515D5D" w:rsidRPr="004D23DE" w:rsidRDefault="00515D5D" w:rsidP="00515D5D">
      <w:pPr>
        <w:pStyle w:val="ListParagraph"/>
        <w:ind w:left="1080"/>
        <w:rPr>
          <w:rFonts w:ascii="Times New Roman" w:hAnsi="Times New Roman" w:cs="Times New Roman"/>
        </w:rPr>
      </w:pPr>
    </w:p>
    <w:p w:rsidR="00342196" w:rsidRDefault="00515D5D" w:rsidP="00515D5D">
      <w:pPr>
        <w:pStyle w:val="ListParagraph"/>
        <w:numPr>
          <w:ilvl w:val="0"/>
          <w:numId w:val="9"/>
        </w:numPr>
        <w:rPr>
          <w:rFonts w:ascii="Times New Roman" w:hAnsi="Times New Roman" w:cs="Times New Roman"/>
        </w:rPr>
      </w:pPr>
      <w:r w:rsidRPr="004D23DE">
        <w:rPr>
          <w:rFonts w:ascii="Times New Roman" w:hAnsi="Times New Roman" w:cs="Times New Roman"/>
        </w:rPr>
        <w:t xml:space="preserve">Determination of Use.  </w:t>
      </w:r>
    </w:p>
    <w:p w:rsidR="004A003B" w:rsidRDefault="004A003B" w:rsidP="00342196">
      <w:pPr>
        <w:pStyle w:val="ListParagraph"/>
        <w:ind w:left="1080"/>
        <w:rPr>
          <w:rFonts w:ascii="Times New Roman" w:hAnsi="Times New Roman" w:cs="Times New Roman"/>
        </w:rPr>
      </w:pPr>
    </w:p>
    <w:p w:rsidR="00727E5C" w:rsidRDefault="00515D5D" w:rsidP="00E148C7">
      <w:pPr>
        <w:pStyle w:val="ListParagraph"/>
        <w:ind w:left="0"/>
        <w:rPr>
          <w:rFonts w:ascii="Times New Roman" w:hAnsi="Times New Roman" w:cs="Times New Roman"/>
        </w:rPr>
      </w:pPr>
      <w:r w:rsidRPr="004D23DE">
        <w:rPr>
          <w:rFonts w:ascii="Times New Roman" w:hAnsi="Times New Roman" w:cs="Times New Roman"/>
        </w:rPr>
        <w:t xml:space="preserve">The determination of the applicable land use category in the linkage fee schedule shall be made by the </w:t>
      </w:r>
      <w:r w:rsidR="007F5C64">
        <w:rPr>
          <w:rFonts w:ascii="Times New Roman" w:hAnsi="Times New Roman" w:cs="Times New Roman"/>
        </w:rPr>
        <w:t>Inspectional Services Director or his or her designee</w:t>
      </w:r>
      <w:r w:rsidRPr="004D23DE">
        <w:rPr>
          <w:rFonts w:ascii="Times New Roman" w:hAnsi="Times New Roman" w:cs="Times New Roman"/>
        </w:rPr>
        <w:t xml:space="preserve"> with reference to the City of Everett’s Linkage Fee Analysis, as the same may be revised from time to time by the City Council.  Should the proposed development not match precisely the land use types listed within the linkage fee schedule, the </w:t>
      </w:r>
      <w:r w:rsidR="00D449A1">
        <w:rPr>
          <w:rFonts w:ascii="Times New Roman" w:hAnsi="Times New Roman" w:cs="Times New Roman"/>
        </w:rPr>
        <w:t>Inspectional Services Director</w:t>
      </w:r>
      <w:r w:rsidRPr="004D23DE">
        <w:rPr>
          <w:rFonts w:ascii="Times New Roman" w:hAnsi="Times New Roman" w:cs="Times New Roman"/>
        </w:rPr>
        <w:t xml:space="preserve"> shall identify the land use most closely resembling the proposed development and require adherence to the payment requirements established for that closely resembling land use.  When a land use classification covers more than one land use type listed in the Linkage Fee </w:t>
      </w:r>
      <w:r>
        <w:rPr>
          <w:rFonts w:ascii="Times New Roman" w:hAnsi="Times New Roman" w:cs="Times New Roman"/>
        </w:rPr>
        <w:t>Schedule as contained in Table 1, below, the linkage</w:t>
      </w:r>
      <w:r w:rsidRPr="004D23DE">
        <w:rPr>
          <w:rFonts w:ascii="Times New Roman" w:hAnsi="Times New Roman" w:cs="Times New Roman"/>
        </w:rPr>
        <w:t xml:space="preserve"> fee shall be determined by reference to the actual or proposed use of the building or structure as</w:t>
      </w:r>
      <w:r w:rsidRPr="004D23DE">
        <w:rPr>
          <w:rFonts w:ascii="Times New Roman" w:hAnsi="Times New Roman" w:cs="Times New Roman"/>
          <w:spacing w:val="-12"/>
        </w:rPr>
        <w:t xml:space="preserve"> </w:t>
      </w:r>
      <w:r w:rsidR="0068252A">
        <w:rPr>
          <w:rFonts w:ascii="Times New Roman" w:hAnsi="Times New Roman" w:cs="Times New Roman"/>
        </w:rPr>
        <w:t>determined by the Inspectional Services Director</w:t>
      </w:r>
      <w:r w:rsidRPr="004D23DE">
        <w:rPr>
          <w:rFonts w:ascii="Times New Roman" w:hAnsi="Times New Roman" w:cs="Times New Roman"/>
        </w:rPr>
        <w:t>, regardless of how the fee payer would</w:t>
      </w:r>
      <w:r w:rsidRPr="004D23DE">
        <w:rPr>
          <w:rFonts w:ascii="Times New Roman" w:hAnsi="Times New Roman" w:cs="Times New Roman"/>
          <w:spacing w:val="-8"/>
        </w:rPr>
        <w:t xml:space="preserve"> </w:t>
      </w:r>
      <w:r w:rsidRPr="004D23DE">
        <w:rPr>
          <w:rFonts w:ascii="Times New Roman" w:hAnsi="Times New Roman" w:cs="Times New Roman"/>
        </w:rPr>
        <w:t>choose to characterize the use for purposes of marketing, land sale registration, permit applications, or any other</w:t>
      </w:r>
      <w:r w:rsidRPr="004D23DE">
        <w:rPr>
          <w:rFonts w:ascii="Times New Roman" w:hAnsi="Times New Roman" w:cs="Times New Roman"/>
          <w:spacing w:val="-5"/>
        </w:rPr>
        <w:t xml:space="preserve"> </w:t>
      </w:r>
      <w:r w:rsidRPr="004D23DE">
        <w:rPr>
          <w:rFonts w:ascii="Times New Roman" w:hAnsi="Times New Roman" w:cs="Times New Roman"/>
        </w:rPr>
        <w:t xml:space="preserve">purpose.  When an application is requested for a structure with mixed uses, the </w:t>
      </w:r>
      <w:r w:rsidR="009A3A42">
        <w:rPr>
          <w:rFonts w:ascii="Times New Roman" w:hAnsi="Times New Roman" w:cs="Times New Roman"/>
        </w:rPr>
        <w:t>Inspectional Services Director</w:t>
      </w:r>
      <w:r w:rsidRPr="004D23DE">
        <w:rPr>
          <w:rFonts w:ascii="Times New Roman" w:hAnsi="Times New Roman" w:cs="Times New Roman"/>
        </w:rPr>
        <w:t xml:space="preserve"> shall determine the fee by apportioning the space committed to uses specified on the Linkage Fee Schedule</w:t>
      </w:r>
      <w:r>
        <w:rPr>
          <w:rFonts w:ascii="Times New Roman" w:hAnsi="Times New Roman" w:cs="Times New Roman"/>
        </w:rPr>
        <w:t xml:space="preserve"> as contained in Table 1, below</w:t>
      </w:r>
      <w:r w:rsidRPr="004D23DE">
        <w:rPr>
          <w:rFonts w:ascii="Times New Roman" w:hAnsi="Times New Roman" w:cs="Times New Roman"/>
        </w:rPr>
        <w:t>.</w:t>
      </w:r>
    </w:p>
    <w:p w:rsidR="00E148C7" w:rsidRDefault="00E148C7" w:rsidP="00E148C7">
      <w:pPr>
        <w:pStyle w:val="ListParagraph"/>
        <w:ind w:left="0"/>
        <w:rPr>
          <w:rFonts w:ascii="Times New Roman" w:hAnsi="Times New Roman" w:cs="Times New Roman"/>
        </w:rPr>
      </w:pPr>
    </w:p>
    <w:p w:rsidR="005F230F" w:rsidRDefault="00515D5D" w:rsidP="00F3718F">
      <w:pPr>
        <w:pStyle w:val="ListParagraph"/>
        <w:numPr>
          <w:ilvl w:val="0"/>
          <w:numId w:val="9"/>
        </w:numPr>
        <w:rPr>
          <w:rFonts w:ascii="Times New Roman" w:hAnsi="Times New Roman" w:cs="Times New Roman"/>
        </w:rPr>
      </w:pPr>
      <w:r w:rsidRPr="00657D46">
        <w:rPr>
          <w:rFonts w:ascii="Times New Roman" w:hAnsi="Times New Roman" w:cs="Times New Roman"/>
        </w:rPr>
        <w:t>Mixed Use Development.</w:t>
      </w:r>
      <w:r w:rsidR="00657D46">
        <w:rPr>
          <w:rFonts w:ascii="Times New Roman" w:hAnsi="Times New Roman" w:cs="Times New Roman"/>
        </w:rPr>
        <w:t xml:space="preserve">  </w:t>
      </w:r>
    </w:p>
    <w:p w:rsidR="004A003B" w:rsidRDefault="004A003B" w:rsidP="005F230F">
      <w:pPr>
        <w:pStyle w:val="ListParagraph"/>
        <w:ind w:left="1080"/>
        <w:rPr>
          <w:rFonts w:ascii="Times New Roman" w:hAnsi="Times New Roman" w:cs="Times New Roman"/>
        </w:rPr>
      </w:pPr>
    </w:p>
    <w:p w:rsidR="00515D5D" w:rsidRPr="00657D46" w:rsidRDefault="00515D5D" w:rsidP="00727E5C">
      <w:pPr>
        <w:pStyle w:val="ListParagraph"/>
        <w:ind w:left="0"/>
        <w:rPr>
          <w:rFonts w:ascii="Times New Roman" w:hAnsi="Times New Roman" w:cs="Times New Roman"/>
        </w:rPr>
      </w:pPr>
      <w:r w:rsidRPr="00657D46">
        <w:rPr>
          <w:rFonts w:ascii="Times New Roman" w:hAnsi="Times New Roman" w:cs="Times New Roman"/>
        </w:rPr>
        <w:t>Developments consisting of one or more principal uses as permitted by the Zoning Ordinance shall pay linkage fees according to the Linkage Fee Schedule set forth in Table 1, below, based upon the total number of dwelling units and/or total square footage of the development when all square footage for the land use types for which building pe</w:t>
      </w:r>
      <w:r w:rsidR="00581413" w:rsidRPr="00657D46">
        <w:rPr>
          <w:rFonts w:ascii="Times New Roman" w:hAnsi="Times New Roman" w:cs="Times New Roman"/>
        </w:rPr>
        <w:t>rmits are sought are combined</w:t>
      </w:r>
      <w:r w:rsidR="00C762CD" w:rsidRPr="00657D46">
        <w:rPr>
          <w:rFonts w:ascii="Times New Roman" w:hAnsi="Times New Roman" w:cs="Times New Roman"/>
        </w:rPr>
        <w:t>, provided that no linkage fee shall be required for any development that does not meet or exceed the triggering thresholds set forth in Table 1</w:t>
      </w:r>
      <w:r w:rsidR="00581413" w:rsidRPr="00657D46">
        <w:rPr>
          <w:rFonts w:ascii="Times New Roman" w:hAnsi="Times New Roman" w:cs="Times New Roman"/>
        </w:rPr>
        <w:t xml:space="preserve">.  </w:t>
      </w:r>
    </w:p>
    <w:p w:rsidR="00515D5D" w:rsidRPr="004D23DE" w:rsidRDefault="00515D5D" w:rsidP="00515D5D">
      <w:pPr>
        <w:pStyle w:val="ListParagraph"/>
        <w:rPr>
          <w:rFonts w:ascii="Times New Roman" w:hAnsi="Times New Roman" w:cs="Times New Roman"/>
        </w:rPr>
      </w:pPr>
    </w:p>
    <w:p w:rsidR="00515D5D" w:rsidRPr="004D23DE" w:rsidRDefault="00515D5D" w:rsidP="00515D5D">
      <w:pPr>
        <w:pStyle w:val="ListParagraph"/>
        <w:numPr>
          <w:ilvl w:val="0"/>
          <w:numId w:val="9"/>
        </w:numPr>
        <w:rPr>
          <w:rFonts w:ascii="Times New Roman" w:hAnsi="Times New Roman" w:cs="Times New Roman"/>
        </w:rPr>
      </w:pPr>
      <w:r w:rsidRPr="004D23DE">
        <w:rPr>
          <w:rFonts w:ascii="Times New Roman" w:hAnsi="Times New Roman" w:cs="Times New Roman"/>
        </w:rPr>
        <w:t>Linkage Fee Schedule</w:t>
      </w:r>
    </w:p>
    <w:p w:rsidR="00515D5D" w:rsidRDefault="00515D5D" w:rsidP="00515D5D">
      <w:pPr>
        <w:pStyle w:val="ListParagraph"/>
        <w:rPr>
          <w:rFonts w:ascii="Times New Roman" w:hAnsi="Times New Roman" w:cs="Times New Roman"/>
        </w:rPr>
      </w:pPr>
    </w:p>
    <w:p w:rsidR="00515D5D" w:rsidRPr="00075F03" w:rsidRDefault="00515D5D" w:rsidP="00515D5D">
      <w:pPr>
        <w:jc w:val="center"/>
        <w:rPr>
          <w:rFonts w:ascii="Times New Roman" w:hAnsi="Times New Roman" w:cs="Times New Roman"/>
          <w:b/>
        </w:rPr>
      </w:pPr>
      <w:r w:rsidRPr="00075F03">
        <w:rPr>
          <w:rFonts w:ascii="Times New Roman" w:hAnsi="Times New Roman" w:cs="Times New Roman"/>
          <w:b/>
        </w:rPr>
        <w:t>Table 1:  Linkage Fee Schedule</w:t>
      </w:r>
    </w:p>
    <w:p w:rsidR="00C762CD" w:rsidRPr="00075F03" w:rsidRDefault="00C762CD" w:rsidP="00657D46">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4230"/>
        <w:gridCol w:w="3240"/>
        <w:gridCol w:w="1795"/>
      </w:tblGrid>
      <w:tr w:rsidR="00C762CD" w:rsidRPr="004D23DE" w:rsidTr="007307CC">
        <w:tc>
          <w:tcPr>
            <w:tcW w:w="4230" w:type="dxa"/>
          </w:tcPr>
          <w:p w:rsidR="00C762CD" w:rsidRDefault="00C762CD" w:rsidP="007307CC">
            <w:pPr>
              <w:pStyle w:val="ListParagraph"/>
              <w:ind w:left="0"/>
              <w:rPr>
                <w:rFonts w:ascii="Times New Roman" w:hAnsi="Times New Roman" w:cs="Times New Roman"/>
                <w:b/>
              </w:rPr>
            </w:pPr>
            <w:r w:rsidRPr="004D23DE">
              <w:rPr>
                <w:rFonts w:ascii="Times New Roman" w:hAnsi="Times New Roman" w:cs="Times New Roman"/>
                <w:b/>
              </w:rPr>
              <w:t>Land Use Type</w:t>
            </w:r>
          </w:p>
          <w:p w:rsidR="00C762CD" w:rsidRPr="00CF7470" w:rsidRDefault="00C762CD" w:rsidP="007307CC"/>
        </w:tc>
        <w:tc>
          <w:tcPr>
            <w:tcW w:w="3240" w:type="dxa"/>
          </w:tcPr>
          <w:p w:rsidR="00C762CD" w:rsidRPr="004D23DE" w:rsidRDefault="00C762CD" w:rsidP="007307CC">
            <w:pPr>
              <w:pStyle w:val="ListParagraph"/>
              <w:ind w:left="0"/>
              <w:rPr>
                <w:rFonts w:ascii="Times New Roman" w:hAnsi="Times New Roman" w:cs="Times New Roman"/>
                <w:b/>
              </w:rPr>
            </w:pPr>
            <w:r w:rsidRPr="004D23DE">
              <w:rPr>
                <w:rFonts w:ascii="Times New Roman" w:hAnsi="Times New Roman" w:cs="Times New Roman"/>
                <w:b/>
              </w:rPr>
              <w:t>Unit of Measurement</w:t>
            </w:r>
          </w:p>
        </w:tc>
        <w:tc>
          <w:tcPr>
            <w:tcW w:w="1795" w:type="dxa"/>
          </w:tcPr>
          <w:p w:rsidR="00C762CD" w:rsidRPr="004D23DE" w:rsidRDefault="00C762CD" w:rsidP="007307CC">
            <w:pPr>
              <w:pStyle w:val="ListParagraph"/>
              <w:ind w:left="0"/>
              <w:rPr>
                <w:rFonts w:ascii="Times New Roman" w:hAnsi="Times New Roman" w:cs="Times New Roman"/>
                <w:b/>
              </w:rPr>
            </w:pPr>
            <w:r w:rsidRPr="004D23DE">
              <w:rPr>
                <w:rFonts w:ascii="Times New Roman" w:hAnsi="Times New Roman" w:cs="Times New Roman"/>
                <w:b/>
              </w:rPr>
              <w:t xml:space="preserve">Affordable Housing Linkage Fee </w:t>
            </w:r>
          </w:p>
        </w:tc>
      </w:tr>
      <w:tr w:rsidR="00C762CD" w:rsidRPr="004D23DE" w:rsidTr="007307CC">
        <w:tc>
          <w:tcPr>
            <w:tcW w:w="4230" w:type="dxa"/>
          </w:tcPr>
          <w:p w:rsidR="00C762CD" w:rsidRPr="004D23DE" w:rsidRDefault="00C762CD" w:rsidP="00E800CB">
            <w:pPr>
              <w:pStyle w:val="ListParagraph"/>
              <w:ind w:left="0"/>
              <w:rPr>
                <w:rFonts w:ascii="Times New Roman" w:hAnsi="Times New Roman" w:cs="Times New Roman"/>
              </w:rPr>
            </w:pPr>
            <w:r>
              <w:rPr>
                <w:rFonts w:ascii="Times New Roman" w:hAnsi="Times New Roman" w:cs="Times New Roman"/>
              </w:rPr>
              <w:t xml:space="preserve">Residential uses </w:t>
            </w:r>
          </w:p>
        </w:tc>
        <w:tc>
          <w:tcPr>
            <w:tcW w:w="3240" w:type="dxa"/>
          </w:tcPr>
          <w:p w:rsidR="00C762CD" w:rsidRPr="004D23DE" w:rsidRDefault="00C762CD" w:rsidP="007816DF">
            <w:pPr>
              <w:pStyle w:val="ListParagraph"/>
              <w:ind w:left="0"/>
              <w:rPr>
                <w:rFonts w:ascii="Times New Roman" w:hAnsi="Times New Roman" w:cs="Times New Roman"/>
              </w:rPr>
            </w:pPr>
            <w:r>
              <w:rPr>
                <w:rFonts w:ascii="Times New Roman" w:hAnsi="Times New Roman" w:cs="Times New Roman"/>
              </w:rPr>
              <w:t xml:space="preserve">Per </w:t>
            </w:r>
            <w:r w:rsidR="00E800CB">
              <w:rPr>
                <w:rFonts w:ascii="Times New Roman" w:hAnsi="Times New Roman" w:cs="Times New Roman"/>
              </w:rPr>
              <w:t xml:space="preserve">New </w:t>
            </w:r>
            <w:r>
              <w:rPr>
                <w:rFonts w:ascii="Times New Roman" w:hAnsi="Times New Roman" w:cs="Times New Roman"/>
              </w:rPr>
              <w:t>Dwelling Unit</w:t>
            </w:r>
          </w:p>
        </w:tc>
        <w:tc>
          <w:tcPr>
            <w:tcW w:w="1795" w:type="dxa"/>
          </w:tcPr>
          <w:p w:rsidR="00C762CD" w:rsidRPr="00657D46" w:rsidRDefault="00C762CD" w:rsidP="00E800CB">
            <w:pPr>
              <w:pStyle w:val="ListParagraph"/>
              <w:ind w:left="0"/>
              <w:rPr>
                <w:rFonts w:ascii="Times New Roman" w:hAnsi="Times New Roman" w:cs="Times New Roman"/>
              </w:rPr>
            </w:pPr>
            <w:r w:rsidRPr="00657D46">
              <w:rPr>
                <w:rFonts w:ascii="Times New Roman" w:hAnsi="Times New Roman" w:cs="Times New Roman"/>
              </w:rPr>
              <w:t>$</w:t>
            </w:r>
            <w:r w:rsidR="007816DF">
              <w:rPr>
                <w:rFonts w:ascii="Times New Roman" w:hAnsi="Times New Roman" w:cs="Times New Roman"/>
              </w:rPr>
              <w:t>1,0</w:t>
            </w:r>
            <w:r w:rsidR="00C05D3B">
              <w:rPr>
                <w:rFonts w:ascii="Times New Roman" w:hAnsi="Times New Roman" w:cs="Times New Roman"/>
              </w:rPr>
              <w:t>00</w:t>
            </w:r>
            <w:r w:rsidRPr="00657D46">
              <w:rPr>
                <w:rFonts w:ascii="Times New Roman" w:hAnsi="Times New Roman" w:cs="Times New Roman"/>
              </w:rPr>
              <w:t xml:space="preserve"> </w:t>
            </w:r>
          </w:p>
        </w:tc>
      </w:tr>
      <w:tr w:rsidR="00C762CD" w:rsidRPr="004D23DE" w:rsidTr="007307CC">
        <w:tc>
          <w:tcPr>
            <w:tcW w:w="4230" w:type="dxa"/>
          </w:tcPr>
          <w:p w:rsidR="00C762CD" w:rsidRPr="004D23DE" w:rsidRDefault="00C762CD" w:rsidP="001263E2">
            <w:pPr>
              <w:pStyle w:val="ListParagraph"/>
              <w:ind w:left="0"/>
              <w:rPr>
                <w:rFonts w:ascii="Times New Roman" w:hAnsi="Times New Roman" w:cs="Times New Roman"/>
              </w:rPr>
            </w:pPr>
            <w:r>
              <w:rPr>
                <w:rFonts w:ascii="Times New Roman" w:hAnsi="Times New Roman" w:cs="Times New Roman"/>
              </w:rPr>
              <w:t xml:space="preserve">Commercial, Industrial or other nonresidential use greater </w:t>
            </w:r>
            <w:r w:rsidRPr="00EC37A8">
              <w:rPr>
                <w:rFonts w:ascii="Times New Roman" w:hAnsi="Times New Roman" w:cs="Times New Roman"/>
              </w:rPr>
              <w:t xml:space="preserve">than </w:t>
            </w:r>
            <w:r w:rsidRPr="00EC37A8">
              <w:rPr>
                <w:rFonts w:ascii="Times New Roman" w:hAnsi="Times New Roman" w:cs="Times New Roman"/>
                <w:shd w:val="clear" w:color="auto" w:fill="FFFFFF" w:themeFill="background1"/>
              </w:rPr>
              <w:t>15,000</w:t>
            </w:r>
            <w:r w:rsidRPr="00EC37A8">
              <w:rPr>
                <w:rFonts w:ascii="Times New Roman" w:hAnsi="Times New Roman" w:cs="Times New Roman"/>
              </w:rPr>
              <w:t xml:space="preserve"> </w:t>
            </w:r>
            <w:r>
              <w:rPr>
                <w:rFonts w:ascii="Times New Roman" w:hAnsi="Times New Roman" w:cs="Times New Roman"/>
              </w:rPr>
              <w:t>square feet of gross floor area; and nonresidential redevelopment, including infill development and a</w:t>
            </w:r>
            <w:r w:rsidRPr="004D23DE">
              <w:rPr>
                <w:rFonts w:ascii="Times New Roman" w:hAnsi="Times New Roman" w:cs="Times New Roman"/>
              </w:rPr>
              <w:t xml:space="preserve">dditions to existing </w:t>
            </w:r>
            <w:r>
              <w:rPr>
                <w:rFonts w:ascii="Times New Roman" w:hAnsi="Times New Roman" w:cs="Times New Roman"/>
              </w:rPr>
              <w:t xml:space="preserve">non-residential </w:t>
            </w:r>
            <w:r w:rsidRPr="004D23DE">
              <w:rPr>
                <w:rFonts w:ascii="Times New Roman" w:hAnsi="Times New Roman" w:cs="Times New Roman"/>
              </w:rPr>
              <w:t>structures</w:t>
            </w:r>
            <w:r>
              <w:rPr>
                <w:rFonts w:ascii="Times New Roman" w:hAnsi="Times New Roman" w:cs="Times New Roman"/>
              </w:rPr>
              <w:t xml:space="preserve">, resulting in total interior area greater than 15,000 square feet of gross floor area </w:t>
            </w:r>
            <w:r w:rsidRPr="004D23DE">
              <w:rPr>
                <w:rFonts w:ascii="Times New Roman" w:hAnsi="Times New Roman" w:cs="Times New Roman"/>
              </w:rPr>
              <w:t xml:space="preserve"> </w:t>
            </w:r>
          </w:p>
        </w:tc>
        <w:tc>
          <w:tcPr>
            <w:tcW w:w="3240" w:type="dxa"/>
          </w:tcPr>
          <w:p w:rsidR="00C762CD" w:rsidRPr="004D23DE" w:rsidRDefault="00C762CD" w:rsidP="007307CC">
            <w:pPr>
              <w:pStyle w:val="ListParagraph"/>
              <w:ind w:left="0"/>
              <w:rPr>
                <w:rFonts w:ascii="Times New Roman" w:hAnsi="Times New Roman" w:cs="Times New Roman"/>
              </w:rPr>
            </w:pPr>
            <w:r w:rsidRPr="004D23DE">
              <w:rPr>
                <w:rFonts w:ascii="Times New Roman" w:hAnsi="Times New Roman" w:cs="Times New Roman"/>
              </w:rPr>
              <w:t xml:space="preserve">Per </w:t>
            </w:r>
            <w:r>
              <w:rPr>
                <w:rFonts w:ascii="Times New Roman" w:hAnsi="Times New Roman" w:cs="Times New Roman"/>
              </w:rPr>
              <w:t>square foot</w:t>
            </w:r>
            <w:r w:rsidRPr="004D23DE">
              <w:rPr>
                <w:rFonts w:ascii="Times New Roman" w:hAnsi="Times New Roman" w:cs="Times New Roman"/>
              </w:rPr>
              <w:t xml:space="preserve"> of gross floor area</w:t>
            </w:r>
            <w:r>
              <w:rPr>
                <w:rFonts w:ascii="Times New Roman" w:hAnsi="Times New Roman" w:cs="Times New Roman"/>
              </w:rPr>
              <w:t xml:space="preserve"> up to 30,000 square feet</w:t>
            </w:r>
          </w:p>
        </w:tc>
        <w:tc>
          <w:tcPr>
            <w:tcW w:w="1795" w:type="dxa"/>
          </w:tcPr>
          <w:p w:rsidR="00C762CD" w:rsidRPr="00657D46" w:rsidRDefault="00C762CD" w:rsidP="00BB4640">
            <w:pPr>
              <w:pStyle w:val="ListParagraph"/>
              <w:ind w:left="0"/>
              <w:rPr>
                <w:rFonts w:ascii="Times New Roman" w:hAnsi="Times New Roman" w:cs="Times New Roman"/>
              </w:rPr>
            </w:pPr>
            <w:r w:rsidRPr="00657D46">
              <w:rPr>
                <w:rFonts w:ascii="Times New Roman" w:hAnsi="Times New Roman" w:cs="Times New Roman"/>
              </w:rPr>
              <w:t>$</w:t>
            </w:r>
            <w:r w:rsidR="00BB4640">
              <w:rPr>
                <w:rFonts w:ascii="Times New Roman" w:hAnsi="Times New Roman" w:cs="Times New Roman"/>
              </w:rPr>
              <w:t>2</w:t>
            </w:r>
            <w:r w:rsidRPr="00657D46">
              <w:rPr>
                <w:rFonts w:ascii="Times New Roman" w:hAnsi="Times New Roman" w:cs="Times New Roman"/>
              </w:rPr>
              <w:t xml:space="preserve">.00 </w:t>
            </w:r>
          </w:p>
        </w:tc>
      </w:tr>
      <w:tr w:rsidR="00C762CD" w:rsidRPr="004D23DE" w:rsidTr="007307CC">
        <w:tc>
          <w:tcPr>
            <w:tcW w:w="4230" w:type="dxa"/>
          </w:tcPr>
          <w:p w:rsidR="00C762CD" w:rsidRDefault="00C762CD" w:rsidP="007307CC">
            <w:pPr>
              <w:pStyle w:val="ListParagraph"/>
              <w:ind w:left="0"/>
              <w:rPr>
                <w:rFonts w:ascii="Times New Roman" w:hAnsi="Times New Roman" w:cs="Times New Roman"/>
              </w:rPr>
            </w:pPr>
          </w:p>
        </w:tc>
        <w:tc>
          <w:tcPr>
            <w:tcW w:w="3240" w:type="dxa"/>
          </w:tcPr>
          <w:p w:rsidR="00C762CD" w:rsidRPr="004D23DE" w:rsidRDefault="00C762CD" w:rsidP="007307CC">
            <w:pPr>
              <w:pStyle w:val="ListParagraph"/>
              <w:ind w:left="0"/>
              <w:rPr>
                <w:rFonts w:ascii="Times New Roman" w:hAnsi="Times New Roman" w:cs="Times New Roman"/>
              </w:rPr>
            </w:pPr>
            <w:r w:rsidRPr="004D23DE">
              <w:rPr>
                <w:rFonts w:ascii="Times New Roman" w:hAnsi="Times New Roman" w:cs="Times New Roman"/>
              </w:rPr>
              <w:t xml:space="preserve">Per </w:t>
            </w:r>
            <w:r>
              <w:rPr>
                <w:rFonts w:ascii="Times New Roman" w:hAnsi="Times New Roman" w:cs="Times New Roman"/>
              </w:rPr>
              <w:t>square foot</w:t>
            </w:r>
            <w:r w:rsidRPr="004D23DE">
              <w:rPr>
                <w:rFonts w:ascii="Times New Roman" w:hAnsi="Times New Roman" w:cs="Times New Roman"/>
              </w:rPr>
              <w:t xml:space="preserve"> of gross floor area</w:t>
            </w:r>
            <w:r>
              <w:rPr>
                <w:rFonts w:ascii="Times New Roman" w:hAnsi="Times New Roman" w:cs="Times New Roman"/>
              </w:rPr>
              <w:t xml:space="preserve"> above 30,000 square feet up to 60,000 square feet</w:t>
            </w:r>
          </w:p>
        </w:tc>
        <w:tc>
          <w:tcPr>
            <w:tcW w:w="1795" w:type="dxa"/>
          </w:tcPr>
          <w:p w:rsidR="00C762CD" w:rsidRPr="00657D46" w:rsidRDefault="00C762CD" w:rsidP="00BB4640">
            <w:pPr>
              <w:pStyle w:val="ListParagraph"/>
              <w:ind w:left="0"/>
              <w:rPr>
                <w:rFonts w:ascii="Times New Roman" w:hAnsi="Times New Roman" w:cs="Times New Roman"/>
              </w:rPr>
            </w:pPr>
            <w:r w:rsidRPr="00657D46">
              <w:rPr>
                <w:rFonts w:ascii="Times New Roman" w:hAnsi="Times New Roman" w:cs="Times New Roman"/>
              </w:rPr>
              <w:t>$</w:t>
            </w:r>
            <w:r w:rsidR="00BB4640">
              <w:rPr>
                <w:rFonts w:ascii="Times New Roman" w:hAnsi="Times New Roman" w:cs="Times New Roman"/>
              </w:rPr>
              <w:t>3</w:t>
            </w:r>
            <w:r w:rsidRPr="00657D46">
              <w:rPr>
                <w:rFonts w:ascii="Times New Roman" w:hAnsi="Times New Roman" w:cs="Times New Roman"/>
              </w:rPr>
              <w:t>.00</w:t>
            </w:r>
          </w:p>
        </w:tc>
      </w:tr>
      <w:tr w:rsidR="00C762CD" w:rsidRPr="004D23DE" w:rsidTr="007307CC">
        <w:tc>
          <w:tcPr>
            <w:tcW w:w="4230" w:type="dxa"/>
          </w:tcPr>
          <w:p w:rsidR="00C762CD" w:rsidRDefault="00C762CD" w:rsidP="007307CC">
            <w:pPr>
              <w:pStyle w:val="ListParagraph"/>
              <w:ind w:left="0"/>
              <w:rPr>
                <w:rFonts w:ascii="Times New Roman" w:hAnsi="Times New Roman" w:cs="Times New Roman"/>
              </w:rPr>
            </w:pPr>
          </w:p>
        </w:tc>
        <w:tc>
          <w:tcPr>
            <w:tcW w:w="3240" w:type="dxa"/>
          </w:tcPr>
          <w:p w:rsidR="00C762CD" w:rsidRPr="004D23DE" w:rsidRDefault="00C762CD" w:rsidP="007307CC">
            <w:pPr>
              <w:pStyle w:val="ListParagraph"/>
              <w:ind w:left="0"/>
              <w:rPr>
                <w:rFonts w:ascii="Times New Roman" w:hAnsi="Times New Roman" w:cs="Times New Roman"/>
              </w:rPr>
            </w:pPr>
            <w:r w:rsidRPr="004D23DE">
              <w:rPr>
                <w:rFonts w:ascii="Times New Roman" w:hAnsi="Times New Roman" w:cs="Times New Roman"/>
              </w:rPr>
              <w:t xml:space="preserve">Per </w:t>
            </w:r>
            <w:r>
              <w:rPr>
                <w:rFonts w:ascii="Times New Roman" w:hAnsi="Times New Roman" w:cs="Times New Roman"/>
              </w:rPr>
              <w:t>square foot</w:t>
            </w:r>
            <w:r w:rsidRPr="004D23DE">
              <w:rPr>
                <w:rFonts w:ascii="Times New Roman" w:hAnsi="Times New Roman" w:cs="Times New Roman"/>
              </w:rPr>
              <w:t xml:space="preserve"> of gross floor area</w:t>
            </w:r>
            <w:r>
              <w:rPr>
                <w:rFonts w:ascii="Times New Roman" w:hAnsi="Times New Roman" w:cs="Times New Roman"/>
              </w:rPr>
              <w:t xml:space="preserve"> above 60,000 </w:t>
            </w:r>
          </w:p>
        </w:tc>
        <w:tc>
          <w:tcPr>
            <w:tcW w:w="1795" w:type="dxa"/>
          </w:tcPr>
          <w:p w:rsidR="00C762CD" w:rsidRPr="00657D46" w:rsidRDefault="00C762CD" w:rsidP="00BB4640">
            <w:pPr>
              <w:pStyle w:val="ListParagraph"/>
              <w:ind w:left="0"/>
              <w:rPr>
                <w:rFonts w:ascii="Times New Roman" w:hAnsi="Times New Roman" w:cs="Times New Roman"/>
              </w:rPr>
            </w:pPr>
            <w:r w:rsidRPr="00657D46">
              <w:rPr>
                <w:rFonts w:ascii="Times New Roman" w:hAnsi="Times New Roman" w:cs="Times New Roman"/>
              </w:rPr>
              <w:t>$</w:t>
            </w:r>
            <w:r w:rsidR="00BB4640">
              <w:rPr>
                <w:rFonts w:ascii="Times New Roman" w:hAnsi="Times New Roman" w:cs="Times New Roman"/>
              </w:rPr>
              <w:t>4</w:t>
            </w:r>
            <w:r w:rsidRPr="00657D46">
              <w:rPr>
                <w:rFonts w:ascii="Times New Roman" w:hAnsi="Times New Roman" w:cs="Times New Roman"/>
              </w:rPr>
              <w:t>.00</w:t>
            </w:r>
          </w:p>
        </w:tc>
      </w:tr>
    </w:tbl>
    <w:p w:rsidR="00C762CD" w:rsidRDefault="00C762CD" w:rsidP="00C762CD">
      <w:pPr>
        <w:pStyle w:val="ListParagraph"/>
        <w:ind w:left="1080"/>
        <w:rPr>
          <w:rFonts w:ascii="Times New Roman" w:hAnsi="Times New Roman" w:cs="Times New Roman"/>
        </w:rPr>
      </w:pPr>
    </w:p>
    <w:p w:rsidR="00E80D80" w:rsidRDefault="00E80D80" w:rsidP="00E80D80">
      <w:pPr>
        <w:pStyle w:val="ListParagraph"/>
        <w:numPr>
          <w:ilvl w:val="0"/>
          <w:numId w:val="10"/>
        </w:numPr>
        <w:rPr>
          <w:rFonts w:ascii="Times New Roman" w:hAnsi="Times New Roman" w:cs="Times New Roman"/>
        </w:rPr>
      </w:pPr>
      <w:r>
        <w:rPr>
          <w:rFonts w:ascii="Times New Roman" w:hAnsi="Times New Roman" w:cs="Times New Roman"/>
          <w:u w:val="single"/>
        </w:rPr>
        <w:t xml:space="preserve">Transition </w:t>
      </w:r>
      <w:r w:rsidR="0092395A">
        <w:rPr>
          <w:rFonts w:ascii="Times New Roman" w:hAnsi="Times New Roman" w:cs="Times New Roman"/>
          <w:u w:val="single"/>
        </w:rPr>
        <w:t>Rules</w:t>
      </w:r>
    </w:p>
    <w:p w:rsidR="00E80D80" w:rsidRDefault="00E80D80" w:rsidP="00C762CD">
      <w:pPr>
        <w:pStyle w:val="ListParagraph"/>
        <w:ind w:left="1080"/>
        <w:rPr>
          <w:rFonts w:ascii="Times New Roman" w:hAnsi="Times New Roman" w:cs="Times New Roman"/>
        </w:rPr>
      </w:pPr>
    </w:p>
    <w:p w:rsidR="00DC6F58" w:rsidRDefault="0079371F" w:rsidP="0079371F">
      <w:pPr>
        <w:rPr>
          <w:rFonts w:ascii="Times New Roman" w:hAnsi="Times New Roman" w:cs="Times New Roman"/>
        </w:rPr>
      </w:pPr>
      <w:r>
        <w:rPr>
          <w:rFonts w:ascii="Times New Roman" w:hAnsi="Times New Roman" w:cs="Times New Roman"/>
        </w:rPr>
        <w:t xml:space="preserve">The following modified fees shall apply </w:t>
      </w:r>
      <w:r w:rsidR="00DC6F58">
        <w:rPr>
          <w:rFonts w:ascii="Times New Roman" w:hAnsi="Times New Roman" w:cs="Times New Roman"/>
        </w:rPr>
        <w:t xml:space="preserve">only </w:t>
      </w:r>
      <w:r>
        <w:rPr>
          <w:rFonts w:ascii="Times New Roman" w:hAnsi="Times New Roman" w:cs="Times New Roman"/>
        </w:rPr>
        <w:t xml:space="preserve">to </w:t>
      </w:r>
      <w:r>
        <w:rPr>
          <w:rFonts w:ascii="Times New Roman" w:hAnsi="Times New Roman" w:cs="Times New Roman"/>
        </w:rPr>
        <w:t>any residential project, for which a site plan approval, special permit or variance has been issued and filed with the City Clerk, but for which no building permit has yet issued for vertical construction, prior to adoption of this ordinance</w:t>
      </w:r>
      <w:r w:rsidR="00DC6F58">
        <w:rPr>
          <w:rFonts w:ascii="Times New Roman" w:hAnsi="Times New Roman" w:cs="Times New Roman"/>
        </w:rPr>
        <w:t>.</w:t>
      </w:r>
    </w:p>
    <w:p w:rsidR="00DC6F58" w:rsidRDefault="00DC6F58" w:rsidP="00DC6F58">
      <w:pPr>
        <w:rPr>
          <w:rFonts w:ascii="Times New Roman" w:hAnsi="Times New Roman" w:cs="Times New Roman"/>
        </w:rPr>
      </w:pPr>
    </w:p>
    <w:p w:rsidR="0079371F" w:rsidRDefault="00DC6F58" w:rsidP="0079371F">
      <w:pPr>
        <w:rPr>
          <w:rFonts w:ascii="Times New Roman" w:hAnsi="Times New Roman" w:cs="Times New Roman"/>
        </w:rPr>
      </w:pPr>
      <w:r>
        <w:rPr>
          <w:rFonts w:ascii="Times New Roman" w:hAnsi="Times New Roman" w:cs="Times New Roman"/>
        </w:rPr>
        <w:t xml:space="preserve">Any residential project, which includes at least 15% affordable units (as that term is defined in Section 32 of the Zoning Ordinance), shall not be required to pay any linkage fee hereunder. </w:t>
      </w:r>
      <w:r w:rsidR="0092395A">
        <w:rPr>
          <w:rFonts w:ascii="Times New Roman" w:hAnsi="Times New Roman" w:cs="Times New Roman"/>
        </w:rPr>
        <w:t xml:space="preserve"> For any other residential project</w:t>
      </w:r>
      <w:r w:rsidR="0079371F">
        <w:rPr>
          <w:rFonts w:ascii="Times New Roman" w:hAnsi="Times New Roman" w:cs="Times New Roman"/>
        </w:rPr>
        <w:t>, the required linkage fee shall be $500 per unit for the project as approved under said site plan approval, special permit or variance</w:t>
      </w:r>
      <w:r w:rsidR="0092395A">
        <w:rPr>
          <w:rFonts w:ascii="Times New Roman" w:hAnsi="Times New Roman" w:cs="Times New Roman"/>
        </w:rPr>
        <w:t xml:space="preserve">. </w:t>
      </w: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Linkage Fees for Redevelopment or Additions to Existing Structures</w:t>
      </w:r>
    </w:p>
    <w:p w:rsidR="00515D5D" w:rsidRDefault="00515D5D" w:rsidP="00515D5D">
      <w:pPr>
        <w:rPr>
          <w:rFonts w:ascii="Times New Roman" w:hAnsi="Times New Roman" w:cs="Times New Roman"/>
        </w:rPr>
      </w:pPr>
    </w:p>
    <w:p w:rsidR="00036ED9" w:rsidRDefault="00036ED9" w:rsidP="00515D5D">
      <w:pPr>
        <w:rPr>
          <w:rFonts w:ascii="Times New Roman" w:hAnsi="Times New Roman" w:cs="Times New Roman"/>
        </w:rPr>
      </w:pPr>
      <w:r w:rsidRPr="00036ED9">
        <w:rPr>
          <w:rFonts w:ascii="Times New Roman" w:hAnsi="Times New Roman" w:cs="Times New Roman"/>
        </w:rPr>
        <w:t>The area of existing structures</w:t>
      </w:r>
      <w:r w:rsidR="001F4845">
        <w:rPr>
          <w:rFonts w:ascii="Times New Roman" w:hAnsi="Times New Roman" w:cs="Times New Roman"/>
        </w:rPr>
        <w:t xml:space="preserve"> or portions thereof</w:t>
      </w:r>
      <w:r w:rsidRPr="00036ED9">
        <w:rPr>
          <w:rFonts w:ascii="Times New Roman" w:hAnsi="Times New Roman" w:cs="Times New Roman"/>
        </w:rPr>
        <w:t xml:space="preserve"> that predate this ordinance shall count toward the threshold</w:t>
      </w:r>
      <w:r w:rsidR="00411899">
        <w:rPr>
          <w:rFonts w:ascii="Times New Roman" w:hAnsi="Times New Roman" w:cs="Times New Roman"/>
        </w:rPr>
        <w:t>s</w:t>
      </w:r>
      <w:r w:rsidRPr="00036ED9">
        <w:rPr>
          <w:rFonts w:ascii="Times New Roman" w:hAnsi="Times New Roman" w:cs="Times New Roman"/>
        </w:rPr>
        <w:t xml:space="preserve"> triggering the linkage fee requirement, but shall not be included for purposes of calculating the linkage fee, provided: (a) such existing structures</w:t>
      </w:r>
      <w:r w:rsidR="001F4845">
        <w:rPr>
          <w:rFonts w:ascii="Times New Roman" w:hAnsi="Times New Roman" w:cs="Times New Roman"/>
        </w:rPr>
        <w:t xml:space="preserve"> or portions thereof</w:t>
      </w:r>
      <w:r w:rsidRPr="00036ED9">
        <w:rPr>
          <w:rFonts w:ascii="Times New Roman" w:hAnsi="Times New Roman" w:cs="Times New Roman"/>
        </w:rPr>
        <w:t xml:space="preserve"> have been actively and lawfully used for at least two years prior to issuance of a building permit for the new structure(s) or addition(s); and (b) no more than 50% of the preexisting structure is demolished in connection with the redevelopment.  The area of existing structures constructed subsequent to adoption of this ordinance shall be included in calculation of the required </w:t>
      </w:r>
      <w:r w:rsidRPr="00036ED9">
        <w:rPr>
          <w:rFonts w:ascii="Times New Roman" w:hAnsi="Times New Roman" w:cs="Times New Roman"/>
        </w:rPr>
        <w:lastRenderedPageBreak/>
        <w:t>linkage fee, except to the extent that such area was included in the calculation of a linkage fee previously paid pursuant to this ordinance.  Development projects may not be segmented into separate applications or lots under common control in order to avoid or reduce the payments required under this ordinance.</w:t>
      </w:r>
    </w:p>
    <w:p w:rsidR="00515D5D" w:rsidRPr="004D23DE" w:rsidRDefault="00515D5D" w:rsidP="00515D5D">
      <w:pPr>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Annual Adjustment of Linkage Fee</w:t>
      </w:r>
    </w:p>
    <w:p w:rsidR="00515D5D" w:rsidRPr="004D23DE" w:rsidRDefault="00515D5D" w:rsidP="00515D5D">
      <w:pPr>
        <w:rPr>
          <w:rFonts w:ascii="Times New Roman" w:hAnsi="Times New Roman" w:cs="Times New Roman"/>
        </w:rPr>
      </w:pPr>
    </w:p>
    <w:p w:rsidR="00515D5D" w:rsidRDefault="00515D5D" w:rsidP="00515D5D">
      <w:pPr>
        <w:rPr>
          <w:rFonts w:ascii="Times New Roman" w:hAnsi="Times New Roman" w:cs="Times New Roman"/>
        </w:rPr>
      </w:pPr>
      <w:r w:rsidRPr="004D23DE">
        <w:rPr>
          <w:rFonts w:ascii="Times New Roman" w:hAnsi="Times New Roman" w:cs="Times New Roman"/>
        </w:rPr>
        <w:t xml:space="preserve">To account for inflation, there shall be an automatic annual increase to the linkage fee schedule set forth in </w:t>
      </w:r>
      <w:r w:rsidR="00373AD6">
        <w:rPr>
          <w:rFonts w:ascii="Times New Roman" w:hAnsi="Times New Roman" w:cs="Times New Roman"/>
        </w:rPr>
        <w:t>Table 1</w:t>
      </w:r>
      <w:r w:rsidRPr="004D23DE">
        <w:rPr>
          <w:rFonts w:ascii="Times New Roman" w:hAnsi="Times New Roman" w:cs="Times New Roman"/>
        </w:rPr>
        <w:t xml:space="preserve"> every January 1</w:t>
      </w:r>
      <w:r w:rsidRPr="004D23DE">
        <w:rPr>
          <w:rFonts w:ascii="Times New Roman" w:hAnsi="Times New Roman" w:cs="Times New Roman"/>
          <w:vertAlign w:val="superscript"/>
        </w:rPr>
        <w:t>st</w:t>
      </w:r>
      <w:r w:rsidRPr="004D23DE">
        <w:rPr>
          <w:rFonts w:ascii="Times New Roman" w:hAnsi="Times New Roman" w:cs="Times New Roman"/>
        </w:rPr>
        <w:t xml:space="preserve"> based on the change in the City Cost Index as published by RS Means using the Average City Cost Index for Boston, Massachusetts.  The fee adjustment shall be calculated by dividing the Average City Cost Index for Boston, Massachusetts published for the current year by the index amount published for the year 2020 and multiplying the resulting ratio by each fee amount to arrive at the adjusted linkage fee.</w:t>
      </w:r>
    </w:p>
    <w:p w:rsidR="00515D5D" w:rsidRPr="00567F91" w:rsidRDefault="00515D5D" w:rsidP="00515D5D">
      <w:pPr>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Collection of Linkage Fees</w:t>
      </w:r>
    </w:p>
    <w:p w:rsidR="00515D5D" w:rsidRPr="004D23DE" w:rsidRDefault="00515D5D" w:rsidP="00515D5D">
      <w:pPr>
        <w:pStyle w:val="ListParagraph"/>
        <w:rPr>
          <w:rFonts w:ascii="Times New Roman" w:hAnsi="Times New Roman" w:cs="Times New Roman"/>
        </w:rPr>
      </w:pPr>
    </w:p>
    <w:p w:rsidR="00515D5D" w:rsidRDefault="00515D5D" w:rsidP="00515D5D">
      <w:pPr>
        <w:widowControl w:val="0"/>
        <w:tabs>
          <w:tab w:val="left" w:pos="1101"/>
        </w:tabs>
        <w:autoSpaceDE w:val="0"/>
        <w:autoSpaceDN w:val="0"/>
        <w:spacing w:before="98"/>
        <w:ind w:right="448"/>
        <w:rPr>
          <w:rFonts w:ascii="Times New Roman" w:hAnsi="Times New Roman" w:cs="Times New Roman"/>
        </w:rPr>
      </w:pPr>
      <w:r w:rsidRPr="004D23DE">
        <w:rPr>
          <w:rFonts w:ascii="Times New Roman" w:hAnsi="Times New Roman" w:cs="Times New Roman"/>
        </w:rPr>
        <w:t xml:space="preserve">No certificate of occupancy required pursuant to the State Building Code or pursuant to any other rule, regulation, ordinance or statute shall be issued until the applicant has paid </w:t>
      </w:r>
      <w:r w:rsidR="008A0A17">
        <w:rPr>
          <w:rFonts w:ascii="Times New Roman" w:hAnsi="Times New Roman" w:cs="Times New Roman"/>
        </w:rPr>
        <w:t xml:space="preserve">or </w:t>
      </w:r>
      <w:r w:rsidR="00527092">
        <w:rPr>
          <w:rFonts w:ascii="Times New Roman" w:hAnsi="Times New Roman" w:cs="Times New Roman"/>
        </w:rPr>
        <w:t>provided surety securing the payment of</w:t>
      </w:r>
      <w:r w:rsidR="008A0A17">
        <w:rPr>
          <w:rFonts w:ascii="Times New Roman" w:hAnsi="Times New Roman" w:cs="Times New Roman"/>
        </w:rPr>
        <w:t xml:space="preserve"> </w:t>
      </w:r>
      <w:r w:rsidRPr="004D23DE">
        <w:rPr>
          <w:rFonts w:ascii="Times New Roman" w:hAnsi="Times New Roman" w:cs="Times New Roman"/>
        </w:rPr>
        <w:t xml:space="preserve">all linkage fees required by this Section.  </w:t>
      </w:r>
      <w:r w:rsidR="00503BDE">
        <w:rPr>
          <w:rFonts w:ascii="Times New Roman" w:hAnsi="Times New Roman" w:cs="Times New Roman"/>
        </w:rPr>
        <w:t xml:space="preserve">An applicant may choose to pay the required linkage fee over a period of up to </w:t>
      </w:r>
      <w:r w:rsidR="005D61F0">
        <w:rPr>
          <w:rFonts w:ascii="Times New Roman" w:hAnsi="Times New Roman" w:cs="Times New Roman"/>
        </w:rPr>
        <w:t>seven</w:t>
      </w:r>
      <w:r w:rsidR="00EE6C0A">
        <w:rPr>
          <w:rFonts w:ascii="Times New Roman" w:hAnsi="Times New Roman" w:cs="Times New Roman"/>
        </w:rPr>
        <w:t xml:space="preserve"> </w:t>
      </w:r>
      <w:r w:rsidR="00503BDE">
        <w:rPr>
          <w:rFonts w:ascii="Times New Roman" w:hAnsi="Times New Roman" w:cs="Times New Roman"/>
        </w:rPr>
        <w:t>years</w:t>
      </w:r>
      <w:r w:rsidR="00794851">
        <w:rPr>
          <w:rFonts w:ascii="Times New Roman" w:hAnsi="Times New Roman" w:cs="Times New Roman"/>
        </w:rPr>
        <w:t>;</w:t>
      </w:r>
      <w:r w:rsidR="004375B1">
        <w:rPr>
          <w:rFonts w:ascii="Times New Roman" w:hAnsi="Times New Roman" w:cs="Times New Roman"/>
        </w:rPr>
        <w:t xml:space="preserve"> </w:t>
      </w:r>
      <w:r w:rsidR="00794851">
        <w:rPr>
          <w:rFonts w:ascii="Times New Roman" w:hAnsi="Times New Roman" w:cs="Times New Roman"/>
        </w:rPr>
        <w:t>provided, however, that any linkage fee reduced pursuant to the Transition Rules set forth in Section 4-5.04.E must be paid in full within a period of no more than five years</w:t>
      </w:r>
      <w:r w:rsidR="00794851">
        <w:rPr>
          <w:rFonts w:ascii="Times New Roman" w:hAnsi="Times New Roman" w:cs="Times New Roman"/>
        </w:rPr>
        <w:t xml:space="preserve">; </w:t>
      </w:r>
      <w:r w:rsidR="004375B1">
        <w:rPr>
          <w:rFonts w:ascii="Times New Roman" w:hAnsi="Times New Roman" w:cs="Times New Roman"/>
        </w:rPr>
        <w:t>provided</w:t>
      </w:r>
      <w:r w:rsidR="00794851">
        <w:rPr>
          <w:rFonts w:ascii="Times New Roman" w:hAnsi="Times New Roman" w:cs="Times New Roman"/>
        </w:rPr>
        <w:t xml:space="preserve"> further</w:t>
      </w:r>
      <w:r w:rsidR="004375B1">
        <w:rPr>
          <w:rFonts w:ascii="Times New Roman" w:hAnsi="Times New Roman" w:cs="Times New Roman"/>
        </w:rPr>
        <w:t xml:space="preserve"> that </w:t>
      </w:r>
      <w:r w:rsidR="00D81F57">
        <w:rPr>
          <w:rFonts w:ascii="Times New Roman" w:hAnsi="Times New Roman" w:cs="Times New Roman"/>
        </w:rPr>
        <w:t>at least</w:t>
      </w:r>
      <w:r w:rsidR="004375B1">
        <w:rPr>
          <w:rFonts w:ascii="Times New Roman" w:hAnsi="Times New Roman" w:cs="Times New Roman"/>
        </w:rPr>
        <w:t xml:space="preserve"> ten percent of </w:t>
      </w:r>
      <w:r w:rsidR="00794851">
        <w:rPr>
          <w:rFonts w:ascii="Times New Roman" w:hAnsi="Times New Roman" w:cs="Times New Roman"/>
        </w:rPr>
        <w:t>any</w:t>
      </w:r>
      <w:r w:rsidR="00D81F57">
        <w:rPr>
          <w:rFonts w:ascii="Times New Roman" w:hAnsi="Times New Roman" w:cs="Times New Roman"/>
        </w:rPr>
        <w:t xml:space="preserve"> required</w:t>
      </w:r>
      <w:r w:rsidR="004375B1">
        <w:rPr>
          <w:rFonts w:ascii="Times New Roman" w:hAnsi="Times New Roman" w:cs="Times New Roman"/>
        </w:rPr>
        <w:t xml:space="preserve"> </w:t>
      </w:r>
      <w:r w:rsidR="00794851">
        <w:rPr>
          <w:rFonts w:ascii="Times New Roman" w:hAnsi="Times New Roman" w:cs="Times New Roman"/>
        </w:rPr>
        <w:t xml:space="preserve">linkage </w:t>
      </w:r>
      <w:r w:rsidR="004375B1">
        <w:rPr>
          <w:rFonts w:ascii="Times New Roman" w:hAnsi="Times New Roman" w:cs="Times New Roman"/>
        </w:rPr>
        <w:t>fee shall be paid prior to issuance of a certificate of occupancy</w:t>
      </w:r>
      <w:r w:rsidR="00503BDE">
        <w:rPr>
          <w:rFonts w:ascii="Times New Roman" w:hAnsi="Times New Roman" w:cs="Times New Roman"/>
        </w:rPr>
        <w:t>.  In such event, the applicant shall</w:t>
      </w:r>
      <w:r w:rsidR="008129FB">
        <w:rPr>
          <w:rFonts w:ascii="Times New Roman" w:hAnsi="Times New Roman" w:cs="Times New Roman"/>
        </w:rPr>
        <w:t xml:space="preserve"> enter into a written payment plan, approved by the Chief Financial Officer or his or her designee, and shall</w:t>
      </w:r>
      <w:r w:rsidR="00503BDE">
        <w:rPr>
          <w:rFonts w:ascii="Times New Roman" w:hAnsi="Times New Roman" w:cs="Times New Roman"/>
        </w:rPr>
        <w:t xml:space="preserve"> secure payment of such fees through one, or in part by one and in part by another, of the methods of surety described in </w:t>
      </w:r>
      <w:r w:rsidR="00766D1A">
        <w:rPr>
          <w:rFonts w:ascii="Times New Roman" w:hAnsi="Times New Roman" w:cs="Times New Roman"/>
        </w:rPr>
        <w:t>G.L. c.41, §81</w:t>
      </w:r>
      <w:r w:rsidR="00503BDE">
        <w:rPr>
          <w:rFonts w:ascii="Times New Roman" w:hAnsi="Times New Roman" w:cs="Times New Roman"/>
        </w:rPr>
        <w:t>U</w:t>
      </w:r>
      <w:r w:rsidR="00B277F5">
        <w:rPr>
          <w:rFonts w:ascii="Times New Roman" w:hAnsi="Times New Roman" w:cs="Times New Roman"/>
        </w:rPr>
        <w:t xml:space="preserve">, clauses (1) through (4) of the General Laws, or through such other means as the Director of Inspectional Services </w:t>
      </w:r>
      <w:r w:rsidR="00B02309">
        <w:rPr>
          <w:rFonts w:ascii="Times New Roman" w:hAnsi="Times New Roman" w:cs="Times New Roman"/>
        </w:rPr>
        <w:t>may approve in his or her discretion and in consultation with the City Solicitor</w:t>
      </w:r>
      <w:r w:rsidR="00B277F5">
        <w:rPr>
          <w:rFonts w:ascii="Times New Roman" w:hAnsi="Times New Roman" w:cs="Times New Roman"/>
        </w:rPr>
        <w:t>.</w:t>
      </w:r>
      <w:r w:rsidR="00766D1A">
        <w:rPr>
          <w:rFonts w:ascii="Times New Roman" w:hAnsi="Times New Roman" w:cs="Times New Roman"/>
        </w:rPr>
        <w:t xml:space="preserve">  The linkage fees required hereunder shall constitute a local charge or fee</w:t>
      </w:r>
      <w:r w:rsidR="00B277F5">
        <w:rPr>
          <w:rFonts w:ascii="Times New Roman" w:hAnsi="Times New Roman" w:cs="Times New Roman"/>
        </w:rPr>
        <w:t xml:space="preserve"> </w:t>
      </w:r>
      <w:r w:rsidR="00766D1A">
        <w:rPr>
          <w:rFonts w:ascii="Times New Roman" w:hAnsi="Times New Roman" w:cs="Times New Roman"/>
        </w:rPr>
        <w:t xml:space="preserve">for purposes of </w:t>
      </w:r>
      <w:r w:rsidR="008129FB">
        <w:rPr>
          <w:rFonts w:ascii="Times New Roman" w:hAnsi="Times New Roman" w:cs="Times New Roman"/>
        </w:rPr>
        <w:t>G.L. c.40</w:t>
      </w:r>
      <w:r w:rsidR="00766D1A">
        <w:rPr>
          <w:rFonts w:ascii="Times New Roman" w:hAnsi="Times New Roman" w:cs="Times New Roman"/>
        </w:rPr>
        <w:t>, §§</w:t>
      </w:r>
      <w:r w:rsidR="008129FB">
        <w:rPr>
          <w:rFonts w:ascii="Times New Roman" w:hAnsi="Times New Roman" w:cs="Times New Roman"/>
        </w:rPr>
        <w:t>57 and 58.</w:t>
      </w:r>
      <w:r w:rsidR="00B277F5">
        <w:rPr>
          <w:rFonts w:ascii="Times New Roman" w:hAnsi="Times New Roman" w:cs="Times New Roman"/>
        </w:rPr>
        <w:t xml:space="preserve"> </w:t>
      </w:r>
      <w:r w:rsidRPr="004D23DE">
        <w:rPr>
          <w:rFonts w:ascii="Times New Roman" w:hAnsi="Times New Roman" w:cs="Times New Roman"/>
        </w:rPr>
        <w:t xml:space="preserve">  </w:t>
      </w:r>
    </w:p>
    <w:p w:rsidR="00BC51BD" w:rsidRDefault="00BC51BD" w:rsidP="00515D5D">
      <w:pPr>
        <w:widowControl w:val="0"/>
        <w:tabs>
          <w:tab w:val="left" w:pos="1101"/>
        </w:tabs>
        <w:autoSpaceDE w:val="0"/>
        <w:autoSpaceDN w:val="0"/>
        <w:spacing w:before="98"/>
        <w:ind w:right="448"/>
        <w:rPr>
          <w:rFonts w:ascii="Times New Roman" w:hAnsi="Times New Roman" w:cs="Times New Roman"/>
        </w:rPr>
      </w:pPr>
    </w:p>
    <w:p w:rsidR="00BC51BD" w:rsidRPr="004D23DE" w:rsidRDefault="00BC51BD" w:rsidP="00515D5D">
      <w:pPr>
        <w:widowControl w:val="0"/>
        <w:tabs>
          <w:tab w:val="left" w:pos="1101"/>
        </w:tabs>
        <w:autoSpaceDE w:val="0"/>
        <w:autoSpaceDN w:val="0"/>
        <w:spacing w:before="98"/>
        <w:ind w:right="448"/>
        <w:rPr>
          <w:rFonts w:ascii="Times New Roman" w:hAnsi="Times New Roman" w:cs="Times New Roman"/>
        </w:rPr>
      </w:pPr>
      <w:r>
        <w:rPr>
          <w:rFonts w:ascii="Times New Roman" w:hAnsi="Times New Roman" w:cs="Times New Roman"/>
        </w:rPr>
        <w:t>The record owner of the property to which the linkage fee is assessed at the time a certificate of occupancy is requested shall be responsible for payment in full of the linkage fee.  Any outstanding linkage fee balance shall be paid prior to the transfer of the subject property or project (whether through sale, transfer or assignment of stock, assets or otherwise). In the case of a condominium or other project involving for-sale units, the linkage fee shall be paid on a proportional basis prior to the sale of each such unit, subject to the approval of the Chief Financial Officer.   Notwithstanding the preceding provisions of this paragraph, any successor(s) in interest shall be jointly and severally responsible for the payment of any unpaid linkage fees.</w:t>
      </w:r>
    </w:p>
    <w:p w:rsidR="00515D5D" w:rsidRPr="004D23DE" w:rsidRDefault="00515D5D" w:rsidP="00515D5D">
      <w:pPr>
        <w:pStyle w:val="ListParagraph"/>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 xml:space="preserve">Segregation of Linkage Fees from General Revenue </w:t>
      </w:r>
    </w:p>
    <w:p w:rsidR="00515D5D" w:rsidRPr="004D23DE" w:rsidRDefault="00515D5D" w:rsidP="00515D5D">
      <w:pPr>
        <w:pStyle w:val="ListParagraph"/>
        <w:rPr>
          <w:rFonts w:ascii="Times New Roman" w:hAnsi="Times New Roman" w:cs="Times New Roman"/>
        </w:rPr>
      </w:pPr>
    </w:p>
    <w:p w:rsidR="00515D5D" w:rsidRPr="004D23DE" w:rsidRDefault="00515D5D" w:rsidP="00515D5D">
      <w:pPr>
        <w:rPr>
          <w:rFonts w:ascii="Times New Roman" w:hAnsi="Times New Roman" w:cs="Times New Roman"/>
        </w:rPr>
      </w:pPr>
      <w:r w:rsidRPr="004D23DE">
        <w:rPr>
          <w:rFonts w:ascii="Times New Roman" w:hAnsi="Times New Roman" w:cs="Times New Roman"/>
        </w:rPr>
        <w:t xml:space="preserve">All funds collected pursuant to this Section shall be deposited into an Affordable Housing Linkage Fee Revolving Fund and invested by the </w:t>
      </w:r>
      <w:r w:rsidR="00CA63FC">
        <w:rPr>
          <w:rFonts w:ascii="Times New Roman" w:hAnsi="Times New Roman" w:cs="Times New Roman"/>
        </w:rPr>
        <w:t>Chief Financial Officer,</w:t>
      </w:r>
      <w:r w:rsidRPr="004D23DE">
        <w:rPr>
          <w:rFonts w:ascii="Times New Roman" w:hAnsi="Times New Roman" w:cs="Times New Roman"/>
        </w:rPr>
        <w:t xml:space="preserve"> pursuant to G.L. c.44, </w:t>
      </w:r>
      <w:r w:rsidR="00CA63FC">
        <w:rPr>
          <w:rFonts w:ascii="Times New Roman" w:hAnsi="Times New Roman" w:cs="Times New Roman"/>
        </w:rPr>
        <w:t>§</w:t>
      </w:r>
      <w:r w:rsidRPr="004D23DE">
        <w:rPr>
          <w:rFonts w:ascii="Times New Roman" w:hAnsi="Times New Roman" w:cs="Times New Roman"/>
        </w:rPr>
        <w:t>54.  This Fund shall be expended under the direction of the Mayor for the construction or rehabilitation of affordable housing within the City of Everett.  Annually, on or before July 1, the Mayor shall file a report with the City Council regarding the administration of the Fund; said report to include (1) the current balance in the Fund; (2) any money deposited into the Fund and (3) expenditures from the Fund.</w:t>
      </w:r>
    </w:p>
    <w:p w:rsidR="00515D5D" w:rsidRPr="004D23DE" w:rsidRDefault="00515D5D" w:rsidP="00515D5D">
      <w:pPr>
        <w:pStyle w:val="ListParagraph"/>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Use of Linkage Fees</w:t>
      </w:r>
    </w:p>
    <w:p w:rsidR="00515D5D" w:rsidRPr="004D23DE" w:rsidRDefault="00515D5D" w:rsidP="00515D5D">
      <w:pPr>
        <w:rPr>
          <w:rFonts w:ascii="Times New Roman" w:hAnsi="Times New Roman" w:cs="Times New Roman"/>
        </w:rPr>
      </w:pPr>
    </w:p>
    <w:p w:rsidR="00515D5D" w:rsidRPr="004D23DE" w:rsidRDefault="00515D5D" w:rsidP="00515D5D">
      <w:pPr>
        <w:rPr>
          <w:rFonts w:ascii="Times New Roman" w:hAnsi="Times New Roman" w:cs="Times New Roman"/>
        </w:rPr>
      </w:pPr>
      <w:r w:rsidRPr="004D23DE">
        <w:rPr>
          <w:rFonts w:ascii="Times New Roman" w:hAnsi="Times New Roman" w:cs="Times New Roman"/>
        </w:rPr>
        <w:t>Linkage fees collected by the City pursuant to this Section may be used only to improve or otherwise increase, the affordable housing stock in the City of Everett whether the same is pursuant to new construction, rehabilitation of existing housing or structures, land acquisition or other means or mechanism</w:t>
      </w:r>
      <w:r w:rsidR="00342196">
        <w:rPr>
          <w:rFonts w:ascii="Times New Roman" w:hAnsi="Times New Roman" w:cs="Times New Roman"/>
        </w:rPr>
        <w:t>, including administrative expenses therefor</w:t>
      </w:r>
      <w:r w:rsidRPr="004D23DE">
        <w:rPr>
          <w:rFonts w:ascii="Times New Roman" w:hAnsi="Times New Roman" w:cs="Times New Roman"/>
        </w:rPr>
        <w:t>.</w:t>
      </w:r>
    </w:p>
    <w:p w:rsidR="00515D5D" w:rsidRPr="004D23DE" w:rsidRDefault="00515D5D" w:rsidP="00515D5D">
      <w:pPr>
        <w:pStyle w:val="ListParagraph"/>
        <w:rPr>
          <w:rFonts w:ascii="Times New Roman" w:hAnsi="Times New Roman" w:cs="Times New Roman"/>
        </w:rPr>
      </w:pPr>
    </w:p>
    <w:p w:rsidR="00515D5D" w:rsidRDefault="00515D5D" w:rsidP="00A870C5">
      <w:pPr>
        <w:pStyle w:val="ListParagraph"/>
        <w:numPr>
          <w:ilvl w:val="0"/>
          <w:numId w:val="9"/>
        </w:numPr>
        <w:rPr>
          <w:rFonts w:ascii="Times New Roman" w:hAnsi="Times New Roman" w:cs="Times New Roman"/>
        </w:rPr>
      </w:pPr>
      <w:r w:rsidRPr="002C5368">
        <w:rPr>
          <w:rFonts w:ascii="Times New Roman" w:hAnsi="Times New Roman" w:cs="Times New Roman"/>
        </w:rPr>
        <w:t>Linkage Fees Do Not Substitute for Conditions of Special Permit, Variance or Site Plan Approval(s)</w:t>
      </w:r>
    </w:p>
    <w:p w:rsidR="00515D5D" w:rsidRDefault="00515D5D" w:rsidP="00515D5D">
      <w:pPr>
        <w:rPr>
          <w:rFonts w:ascii="Times New Roman" w:hAnsi="Times New Roman" w:cs="Times New Roman"/>
        </w:rPr>
      </w:pPr>
    </w:p>
    <w:p w:rsidR="00515D5D" w:rsidRPr="002C5368" w:rsidRDefault="00515D5D" w:rsidP="00515D5D">
      <w:pPr>
        <w:rPr>
          <w:rFonts w:ascii="Times New Roman" w:hAnsi="Times New Roman" w:cs="Times New Roman"/>
        </w:rPr>
      </w:pPr>
      <w:r>
        <w:rPr>
          <w:rFonts w:ascii="Times New Roman" w:hAnsi="Times New Roman" w:cs="Times New Roman"/>
        </w:rPr>
        <w:t>Linkage fees required by this Ordinance shall not substitute or b</w:t>
      </w:r>
      <w:r w:rsidR="00727E5C">
        <w:rPr>
          <w:rFonts w:ascii="Times New Roman" w:hAnsi="Times New Roman" w:cs="Times New Roman"/>
        </w:rPr>
        <w:t xml:space="preserve">e considered a replacement for </w:t>
      </w:r>
      <w:r>
        <w:rPr>
          <w:rFonts w:ascii="Times New Roman" w:hAnsi="Times New Roman" w:cs="Times New Roman"/>
        </w:rPr>
        <w:t xml:space="preserve">any lawful condition imposed by the Planning Board, Board of Appeals, City Council or any other </w:t>
      </w:r>
      <w:r w:rsidR="004E76C3">
        <w:rPr>
          <w:rFonts w:ascii="Times New Roman" w:hAnsi="Times New Roman" w:cs="Times New Roman"/>
        </w:rPr>
        <w:t>permitting or licensing</w:t>
      </w:r>
      <w:r>
        <w:rPr>
          <w:rFonts w:ascii="Times New Roman" w:hAnsi="Times New Roman" w:cs="Times New Roman"/>
        </w:rPr>
        <w:t xml:space="preserve"> board, body</w:t>
      </w:r>
      <w:r w:rsidR="004E76C3">
        <w:rPr>
          <w:rFonts w:ascii="Times New Roman" w:hAnsi="Times New Roman" w:cs="Times New Roman"/>
        </w:rPr>
        <w:t>, official</w:t>
      </w:r>
      <w:r>
        <w:rPr>
          <w:rFonts w:ascii="Times New Roman" w:hAnsi="Times New Roman" w:cs="Times New Roman"/>
        </w:rPr>
        <w:t xml:space="preserve"> or </w:t>
      </w:r>
      <w:r w:rsidR="004E76C3">
        <w:rPr>
          <w:rFonts w:ascii="Times New Roman" w:hAnsi="Times New Roman" w:cs="Times New Roman"/>
        </w:rPr>
        <w:t>department</w:t>
      </w:r>
      <w:r>
        <w:rPr>
          <w:rFonts w:ascii="Times New Roman" w:hAnsi="Times New Roman" w:cs="Times New Roman"/>
        </w:rPr>
        <w:t>.</w:t>
      </w:r>
    </w:p>
    <w:p w:rsidR="00515D5D" w:rsidRPr="00075F03" w:rsidRDefault="00515D5D" w:rsidP="00515D5D">
      <w:pPr>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Administrative Rules and Regulations</w:t>
      </w:r>
    </w:p>
    <w:p w:rsidR="00515D5D" w:rsidRPr="004D23DE" w:rsidRDefault="00515D5D" w:rsidP="00515D5D">
      <w:pPr>
        <w:rPr>
          <w:rFonts w:ascii="Times New Roman" w:hAnsi="Times New Roman" w:cs="Times New Roman"/>
        </w:rPr>
      </w:pPr>
    </w:p>
    <w:p w:rsidR="00CE6E5B" w:rsidRDefault="00515D5D" w:rsidP="003A18BD">
      <w:pPr>
        <w:rPr>
          <w:rFonts w:ascii="Times New Roman" w:hAnsi="Times New Roman" w:cs="Times New Roman"/>
        </w:rPr>
      </w:pPr>
      <w:r w:rsidRPr="004D23DE">
        <w:rPr>
          <w:rFonts w:ascii="Times New Roman" w:hAnsi="Times New Roman" w:cs="Times New Roman"/>
        </w:rPr>
        <w:t xml:space="preserve">The </w:t>
      </w:r>
      <w:r w:rsidR="00B75639">
        <w:rPr>
          <w:rFonts w:ascii="Times New Roman" w:hAnsi="Times New Roman" w:cs="Times New Roman"/>
        </w:rPr>
        <w:t>City Council</w:t>
      </w:r>
      <w:r w:rsidRPr="004D23DE">
        <w:rPr>
          <w:rFonts w:ascii="Times New Roman" w:hAnsi="Times New Roman" w:cs="Times New Roman"/>
        </w:rPr>
        <w:t xml:space="preserve"> is hereby authorized to promulgate rules, regulations and policies governing the administration of this Section.</w:t>
      </w:r>
    </w:p>
    <w:p w:rsidR="003A18BD" w:rsidRDefault="003A18BD" w:rsidP="003A18BD">
      <w:pPr>
        <w:rPr>
          <w:rFonts w:ascii="Times New Roman" w:hAnsi="Times New Roman" w:cs="Times New Roman"/>
        </w:rPr>
      </w:pPr>
    </w:p>
    <w:p w:rsidR="00515D5D" w:rsidRPr="004D23DE" w:rsidRDefault="00515D5D" w:rsidP="00A870C5">
      <w:pPr>
        <w:pStyle w:val="ListParagraph"/>
        <w:numPr>
          <w:ilvl w:val="0"/>
          <w:numId w:val="9"/>
        </w:numPr>
        <w:rPr>
          <w:rFonts w:ascii="Times New Roman" w:hAnsi="Times New Roman" w:cs="Times New Roman"/>
        </w:rPr>
      </w:pPr>
      <w:r w:rsidRPr="004D23DE">
        <w:rPr>
          <w:rFonts w:ascii="Times New Roman" w:hAnsi="Times New Roman" w:cs="Times New Roman"/>
        </w:rPr>
        <w:t>Effective Date</w:t>
      </w:r>
    </w:p>
    <w:p w:rsidR="00515D5D" w:rsidRPr="004D23DE" w:rsidRDefault="00515D5D" w:rsidP="00515D5D">
      <w:pPr>
        <w:rPr>
          <w:rFonts w:ascii="Times New Roman" w:hAnsi="Times New Roman" w:cs="Times New Roman"/>
        </w:rPr>
      </w:pPr>
    </w:p>
    <w:p w:rsidR="00510C5A" w:rsidRDefault="0082106B" w:rsidP="005E5EBC">
      <w:pPr>
        <w:tabs>
          <w:tab w:val="left" w:pos="2112"/>
        </w:tabs>
        <w:rPr>
          <w:rFonts w:ascii="Times New Roman" w:hAnsi="Times New Roman" w:cs="Times New Roman"/>
        </w:rPr>
      </w:pPr>
      <w:r w:rsidRPr="004D23DE">
        <w:rPr>
          <w:rFonts w:ascii="Times New Roman" w:hAnsi="Times New Roman" w:cs="Times New Roman"/>
        </w:rPr>
        <w:t>The provisions of this Section shall become effective upon passage by the City Council and</w:t>
      </w:r>
      <w:r>
        <w:rPr>
          <w:rFonts w:ascii="Times New Roman" w:hAnsi="Times New Roman" w:cs="Times New Roman"/>
        </w:rPr>
        <w:t xml:space="preserve"> subsequent approval by the Mayor and shall </w:t>
      </w:r>
      <w:r w:rsidRPr="004D23DE">
        <w:rPr>
          <w:rFonts w:ascii="Times New Roman" w:hAnsi="Times New Roman" w:cs="Times New Roman"/>
        </w:rPr>
        <w:t xml:space="preserve">apply to any structure or use otherwise required to comply with this Ordinance that has not, prior to the effective date of this Section, received </w:t>
      </w:r>
      <w:r w:rsidR="00407D47" w:rsidRPr="004D23DE">
        <w:rPr>
          <w:rFonts w:ascii="Times New Roman" w:hAnsi="Times New Roman" w:cs="Times New Roman"/>
        </w:rPr>
        <w:t>a building permit for said structure or use</w:t>
      </w:r>
      <w:r w:rsidR="00407D47">
        <w:rPr>
          <w:rFonts w:ascii="Times New Roman" w:hAnsi="Times New Roman" w:cs="Times New Roman"/>
        </w:rPr>
        <w:t>.</w:t>
      </w:r>
    </w:p>
    <w:p w:rsidR="00407D47" w:rsidRPr="00EB5006" w:rsidRDefault="00407D47" w:rsidP="005E5EBC">
      <w:pPr>
        <w:tabs>
          <w:tab w:val="left" w:pos="2112"/>
        </w:tabs>
        <w:rPr>
          <w:rFonts w:asciiTheme="minorHAnsi" w:hAnsiTheme="minorHAnsi" w:cstheme="minorHAnsi"/>
        </w:rPr>
      </w:pPr>
    </w:p>
    <w:p w:rsidR="0082106B" w:rsidRPr="00EB5006" w:rsidRDefault="0082106B" w:rsidP="0082106B">
      <w:pPr>
        <w:jc w:val="center"/>
        <w:rPr>
          <w:rFonts w:asciiTheme="minorHAnsi" w:hAnsiTheme="minorHAnsi" w:cstheme="minorHAnsi"/>
        </w:rPr>
      </w:pPr>
      <w:r w:rsidRPr="00EB500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94B002F" wp14:editId="3D52DF4B">
                <wp:simplePos x="0" y="0"/>
                <wp:positionH relativeFrom="column">
                  <wp:posOffset>582295</wp:posOffset>
                </wp:positionH>
                <wp:positionV relativeFrom="paragraph">
                  <wp:posOffset>77470</wp:posOffset>
                </wp:positionV>
                <wp:extent cx="1073785" cy="991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991870"/>
                        </a:xfrm>
                        <a:prstGeom prst="rect">
                          <a:avLst/>
                        </a:prstGeom>
                        <a:solidFill>
                          <a:srgbClr val="FFFFFF"/>
                        </a:solidFill>
                        <a:ln w="9525">
                          <a:noFill/>
                          <a:miter lim="800000"/>
                          <a:headEnd/>
                          <a:tailEnd/>
                        </a:ln>
                      </wps:spPr>
                      <wps:txbx>
                        <w:txbxContent>
                          <w:p w:rsidR="0082106B" w:rsidRDefault="0082106B" w:rsidP="0082106B">
                            <w:r>
                              <w:rPr>
                                <w:noProof/>
                              </w:rPr>
                              <w:drawing>
                                <wp:inline distT="0" distB="0" distL="0" distR="0" wp14:anchorId="6E718B28" wp14:editId="14F4756B">
                                  <wp:extent cx="722811" cy="737519"/>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ta.bmp"/>
                                          <pic:cNvPicPr/>
                                        </pic:nvPicPr>
                                        <pic:blipFill>
                                          <a:blip r:embed="rId8">
                                            <a:extLst>
                                              <a:ext uri="{28A0092B-C50C-407E-A947-70E740481C1C}">
                                                <a14:useLocalDpi xmlns:a14="http://schemas.microsoft.com/office/drawing/2010/main" val="0"/>
                                              </a:ext>
                                            </a:extLst>
                                          </a:blip>
                                          <a:stretch>
                                            <a:fillRect/>
                                          </a:stretch>
                                        </pic:blipFill>
                                        <pic:spPr>
                                          <a:xfrm>
                                            <a:off x="0" y="0"/>
                                            <a:ext cx="725220" cy="7399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B002F" id="_x0000_t202" coordsize="21600,21600" o:spt="202" path="m,l,21600r21600,l21600,xe">
                <v:stroke joinstyle="miter"/>
                <v:path gradientshapeok="t" o:connecttype="rect"/>
              </v:shapetype>
              <v:shape id="Text Box 2" o:spid="_x0000_s1026" type="#_x0000_t202" style="position:absolute;left:0;text-align:left;margin-left:45.85pt;margin-top:6.1pt;width:84.5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6PIQIAAB0EAAAOAAAAZHJzL2Uyb0RvYy54bWysU9uO2yAQfa/Uf0C8N3aySZ1YcVbbbFNV&#10;2l6k3X4AxjhGBYYCiZ1+fQeczUbbt6o8IIYZzsycOaxvB63IUTgvwVR0OskpEYZDI82+oj+edu+W&#10;lPjATMMUGFHRk/D0dvP2zbq3pZhBB6oRjiCI8WVvK9qFYMss87wTmvkJWGHQ2YLTLKDp9lnjWI/o&#10;WmWzPH+f9eAa64AL7/H2fnTSTcJvW8HDt7b1IhBVUawtpN2lvY57tlmzcu+Y7SQ/l8H+oQrNpMGk&#10;F6h7Fhg5OPkXlJbcgYc2TDjoDNpWcpF6wG6m+atuHjtmReoFyfH2QpP/f7D86/G7I7Kp6E1eUGKY&#10;xiE9iSGQDzCQWeSnt77EsEeLgWHAa5xz6tXbB+A/PTGw7ZjZizvnoO8Ea7C+aXyZXT0dcXwEqfsv&#10;0GAadgiQgIbW6Uge0kEQHed0uswmlsJjyry4KZYLSjj6VqvpskjDy1j5/No6Hz4J0CQeKupw9gmd&#10;HR98iNWw8jkkJvOgZLOTSiXD7eutcuTIUCe7tFIDr8KUIT1mX8wWCdlAfJ8kpGVAHSupK7rM4xqV&#10;Fdn4aJoUEphU4xkrUeZMT2Rk5CYM9YCBkbMamhMS5WDUK/4vPHTgflPSo1Yr6n8dmBOUqM8GyV5N&#10;5/Mo7mTMF8UMDXftqa89zHCEqmigZDxuQ/oQkQcDdziUVia+Xio514oaTDSe/0sU+bWdol5+9eYP&#10;AAAA//8DAFBLAwQUAAYACAAAACEA2Lkva90AAAAJAQAADwAAAGRycy9kb3ducmV2LnhtbEyPQU+D&#10;QBCF7yb+h82YeDF2KanQUpZGTTReW/sDBpgCKTtL2G2h/97xpMd57+XN9/LdbHt1pdF3jg0sFxEo&#10;4srVHTcGjt8fz2tQPiDX2DsmAzfysCvu73LMajfxnq6H0CgpYZ+hgTaEIdPaVy1Z9As3EIt3cqPF&#10;IOfY6HrEScptr+MoSrTFjuVDiwO9t1SdDxdr4PQ1Pb1spvIzHNP9KnnDLi3dzZjHh/l1CyrQHP7C&#10;8Isv6FAIU+kuXHvVG9gsU0mKHsegxI+TSKaUIiTrFegi1/8XFD8AAAD//wMAUEsBAi0AFAAGAAgA&#10;AAAhALaDOJL+AAAA4QEAABMAAAAAAAAAAAAAAAAAAAAAAFtDb250ZW50X1R5cGVzXS54bWxQSwEC&#10;LQAUAAYACAAAACEAOP0h/9YAAACUAQAACwAAAAAAAAAAAAAAAAAvAQAAX3JlbHMvLnJlbHNQSwEC&#10;LQAUAAYACAAAACEALimujyECAAAdBAAADgAAAAAAAAAAAAAAAAAuAgAAZHJzL2Uyb0RvYy54bWxQ&#10;SwECLQAUAAYACAAAACEA2Lkva90AAAAJAQAADwAAAAAAAAAAAAAAAAB7BAAAZHJzL2Rvd25yZXYu&#10;eG1sUEsFBgAAAAAEAAQA8wAAAIUFAAAAAA==&#10;" stroked="f">
                <v:textbox>
                  <w:txbxContent>
                    <w:p w:rsidR="0082106B" w:rsidRDefault="0082106B" w:rsidP="0082106B">
                      <w:r>
                        <w:rPr>
                          <w:noProof/>
                        </w:rPr>
                        <w:drawing>
                          <wp:inline distT="0" distB="0" distL="0" distR="0" wp14:anchorId="6E718B28" wp14:editId="14F4756B">
                            <wp:extent cx="722811" cy="737519"/>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sta.bmp"/>
                                    <pic:cNvPicPr/>
                                  </pic:nvPicPr>
                                  <pic:blipFill>
                                    <a:blip r:embed="rId9">
                                      <a:extLst>
                                        <a:ext uri="{28A0092B-C50C-407E-A947-70E740481C1C}">
                                          <a14:useLocalDpi xmlns:a14="http://schemas.microsoft.com/office/drawing/2010/main" val="0"/>
                                        </a:ext>
                                      </a:extLst>
                                    </a:blip>
                                    <a:stretch>
                                      <a:fillRect/>
                                    </a:stretch>
                                  </pic:blipFill>
                                  <pic:spPr>
                                    <a:xfrm>
                                      <a:off x="0" y="0"/>
                                      <a:ext cx="725220" cy="739978"/>
                                    </a:xfrm>
                                    <a:prstGeom prst="rect">
                                      <a:avLst/>
                                    </a:prstGeom>
                                  </pic:spPr>
                                </pic:pic>
                              </a:graphicData>
                            </a:graphic>
                          </wp:inline>
                        </w:drawing>
                      </w:r>
                    </w:p>
                  </w:txbxContent>
                </v:textbox>
              </v:shape>
            </w:pict>
          </mc:Fallback>
        </mc:AlternateContent>
      </w:r>
      <w:r>
        <w:rPr>
          <w:rFonts w:asciiTheme="minorHAnsi" w:hAnsiTheme="minorHAnsi" w:cstheme="minorHAnsi"/>
        </w:rPr>
        <w:t xml:space="preserve">             </w:t>
      </w:r>
      <w:r w:rsidRPr="00EB5006">
        <w:rPr>
          <w:rFonts w:asciiTheme="minorHAnsi" w:hAnsiTheme="minorHAnsi" w:cstheme="minorHAnsi"/>
        </w:rPr>
        <w:t>A true copy attest</w:t>
      </w:r>
    </w:p>
    <w:p w:rsidR="0082106B" w:rsidRPr="000410ED" w:rsidRDefault="0082106B" w:rsidP="0082106B">
      <w:pPr>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2F4D2061" wp14:editId="3CE004CD">
            <wp:extent cx="1821371" cy="57607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371" cy="576072"/>
                    </a:xfrm>
                    <a:prstGeom prst="rect">
                      <a:avLst/>
                    </a:prstGeom>
                    <a:noFill/>
                    <a:ln>
                      <a:noFill/>
                    </a:ln>
                  </pic:spPr>
                </pic:pic>
              </a:graphicData>
            </a:graphic>
          </wp:inline>
        </w:drawing>
      </w:r>
      <w:r w:rsidRPr="00EB5006">
        <w:rPr>
          <w:rFonts w:asciiTheme="minorHAnsi" w:hAnsiTheme="minorHAnsi" w:cstheme="minorHAnsi"/>
        </w:rPr>
        <w:br/>
      </w:r>
      <w:r>
        <w:rPr>
          <w:rFonts w:asciiTheme="minorHAnsi" w:hAnsiTheme="minorHAnsi" w:cstheme="minorHAnsi"/>
        </w:rPr>
        <w:t xml:space="preserve">           </w:t>
      </w:r>
      <w:r w:rsidRPr="0013663B">
        <w:rPr>
          <w:rFonts w:asciiTheme="minorHAnsi" w:hAnsiTheme="minorHAnsi" w:cstheme="minorHAnsi"/>
        </w:rPr>
        <w:t>Sergio Cornelio</w:t>
      </w:r>
      <w:r w:rsidRPr="00EB5006">
        <w:rPr>
          <w:rFonts w:asciiTheme="minorHAnsi" w:hAnsiTheme="minorHAnsi" w:cstheme="minorHAnsi"/>
        </w:rPr>
        <w:t>, City Clerk</w:t>
      </w:r>
    </w:p>
    <w:p w:rsidR="006108B7" w:rsidRPr="000410ED" w:rsidRDefault="006108B7" w:rsidP="0082106B">
      <w:pPr>
        <w:rPr>
          <w:rFonts w:asciiTheme="minorHAnsi" w:hAnsiTheme="minorHAnsi" w:cstheme="minorHAnsi"/>
        </w:rPr>
      </w:pPr>
      <w:bookmarkStart w:id="0" w:name="_GoBack"/>
      <w:bookmarkEnd w:id="0"/>
    </w:p>
    <w:sectPr w:rsidR="006108B7" w:rsidRPr="000410ED" w:rsidSect="00F67693">
      <w:footerReference w:type="default" r:id="rId11"/>
      <w:pgSz w:w="12240" w:h="15840" w:code="1"/>
      <w:pgMar w:top="1440" w:right="1440" w:bottom="1440" w:left="1440" w:header="0" w:footer="7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7C" w:rsidRDefault="0091667C" w:rsidP="00C762CD">
      <w:r>
        <w:separator/>
      </w:r>
    </w:p>
  </w:endnote>
  <w:endnote w:type="continuationSeparator" w:id="0">
    <w:p w:rsidR="0091667C" w:rsidRDefault="0091667C" w:rsidP="00C7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CE" w:rsidRDefault="00DE35CE" w:rsidP="00F67693">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7C" w:rsidRDefault="0091667C" w:rsidP="00C762CD">
      <w:r>
        <w:separator/>
      </w:r>
    </w:p>
  </w:footnote>
  <w:footnote w:type="continuationSeparator" w:id="0">
    <w:p w:rsidR="0091667C" w:rsidRDefault="0091667C" w:rsidP="00C7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B58"/>
    <w:multiLevelType w:val="hybridMultilevel"/>
    <w:tmpl w:val="7EF266AE"/>
    <w:lvl w:ilvl="0" w:tplc="305A6260">
      <w:start w:val="2"/>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181CB8"/>
    <w:multiLevelType w:val="hybridMultilevel"/>
    <w:tmpl w:val="6BCCE0EC"/>
    <w:lvl w:ilvl="0" w:tplc="D310AB72">
      <w:start w:val="1"/>
      <w:numFmt w:val="lowerLetter"/>
      <w:lvlText w:val="%1."/>
      <w:lvlJc w:val="left"/>
      <w:pPr>
        <w:tabs>
          <w:tab w:val="num" w:pos="720"/>
        </w:tabs>
        <w:ind w:left="720" w:hanging="360"/>
      </w:pPr>
      <w:rPr>
        <w:rFonts w:asciiTheme="minorHAnsi" w:eastAsia="Times New Roman" w:hAnsiTheme="minorHAnsi" w:cstheme="minorHAnsi"/>
      </w:rPr>
    </w:lvl>
    <w:lvl w:ilvl="1" w:tplc="67D4BC90">
      <w:start w:val="1"/>
      <w:numFmt w:val="decimal"/>
      <w:lvlText w:val="%2."/>
      <w:lvlJc w:val="left"/>
      <w:pPr>
        <w:tabs>
          <w:tab w:val="num" w:pos="1320"/>
        </w:tabs>
        <w:ind w:left="1320" w:hanging="360"/>
      </w:pPr>
      <w:rPr>
        <w:rFonts w:asciiTheme="minorHAnsi" w:eastAsia="Times New Roman" w:hAnsiTheme="minorHAnsi" w:cstheme="minorHAnsi"/>
      </w:rPr>
    </w:lvl>
    <w:lvl w:ilvl="2" w:tplc="7F043046">
      <w:start w:val="1"/>
      <w:numFmt w:val="lowerLetter"/>
      <w:lvlText w:val="(%3)"/>
      <w:lvlJc w:val="right"/>
      <w:pPr>
        <w:tabs>
          <w:tab w:val="num" w:pos="2160"/>
        </w:tabs>
        <w:ind w:left="2160" w:hanging="180"/>
      </w:pPr>
      <w:rPr>
        <w:rFonts w:asciiTheme="minorHAnsi" w:eastAsia="Times New Roman" w:hAnsiTheme="minorHAnsi" w:cstheme="minorHAnsi"/>
      </w:rPr>
    </w:lvl>
    <w:lvl w:ilvl="3" w:tplc="0409000F">
      <w:start w:val="1"/>
      <w:numFmt w:val="decimal"/>
      <w:lvlText w:val="%4."/>
      <w:lvlJc w:val="left"/>
      <w:pPr>
        <w:tabs>
          <w:tab w:val="num" w:pos="2880"/>
        </w:tabs>
        <w:ind w:left="2880" w:hanging="360"/>
      </w:pPr>
    </w:lvl>
    <w:lvl w:ilvl="4" w:tplc="18606C5A">
      <w:start w:val="3"/>
      <w:numFmt w:val="bullet"/>
      <w:lvlText w:val=""/>
      <w:lvlJc w:val="left"/>
      <w:pPr>
        <w:tabs>
          <w:tab w:val="num" w:pos="3600"/>
        </w:tabs>
        <w:ind w:left="3600" w:hanging="360"/>
      </w:pPr>
      <w:rPr>
        <w:rFonts w:ascii="Symbol" w:eastAsia="Times New Roman" w:hAnsi="Symbol" w:cs="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7C5ADA"/>
    <w:multiLevelType w:val="hybridMultilevel"/>
    <w:tmpl w:val="7B6A26D4"/>
    <w:lvl w:ilvl="0" w:tplc="9D0432A0">
      <w:start w:val="1"/>
      <w:numFmt w:val="lowerLetter"/>
      <w:lvlText w:val="(%1)"/>
      <w:lvlJc w:val="left"/>
      <w:pPr>
        <w:ind w:left="1560" w:hanging="360"/>
      </w:pPr>
      <w:rPr>
        <w:rFonts w:hint="default"/>
        <w:b w:val="0"/>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2239239C"/>
    <w:multiLevelType w:val="hybridMultilevel"/>
    <w:tmpl w:val="721E8C52"/>
    <w:lvl w:ilvl="0" w:tplc="A6ACB6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C7464"/>
    <w:multiLevelType w:val="multilevel"/>
    <w:tmpl w:val="DF9638CA"/>
    <w:lvl w:ilvl="0">
      <w:start w:val="1"/>
      <w:numFmt w:val="decimalZero"/>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0B71D0C"/>
    <w:multiLevelType w:val="hybridMultilevel"/>
    <w:tmpl w:val="9CA60938"/>
    <w:lvl w:ilvl="0" w:tplc="40C4EED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EB4D8A"/>
    <w:multiLevelType w:val="hybridMultilevel"/>
    <w:tmpl w:val="DCAA2052"/>
    <w:lvl w:ilvl="0" w:tplc="E7006E58">
      <w:start w:val="1"/>
      <w:numFmt w:val="upperLetter"/>
      <w:lvlText w:val="%1. "/>
      <w:lvlJc w:val="left"/>
      <w:pPr>
        <w:ind w:left="720" w:hanging="360"/>
      </w:pPr>
      <w:rPr>
        <w:rFonts w:ascii="Times New Roman" w:hAnsi="Times New Roman"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F1372"/>
    <w:multiLevelType w:val="hybridMultilevel"/>
    <w:tmpl w:val="F4DAF8AA"/>
    <w:lvl w:ilvl="0" w:tplc="97E0D3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C0F20"/>
    <w:multiLevelType w:val="hybridMultilevel"/>
    <w:tmpl w:val="9254027C"/>
    <w:lvl w:ilvl="0" w:tplc="FEACD2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E12C1"/>
    <w:multiLevelType w:val="hybridMultilevel"/>
    <w:tmpl w:val="57BE707A"/>
    <w:lvl w:ilvl="0" w:tplc="9536A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2"/>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10-8873-1096, v. 2"/>
    <w:docVar w:name="ndGeneratedStampLocation" w:val="EachPage"/>
  </w:docVars>
  <w:rsids>
    <w:rsidRoot w:val="009D6D05"/>
    <w:rsid w:val="000226FF"/>
    <w:rsid w:val="0002279B"/>
    <w:rsid w:val="000249A4"/>
    <w:rsid w:val="00027ACC"/>
    <w:rsid w:val="00035001"/>
    <w:rsid w:val="00036ED9"/>
    <w:rsid w:val="000410ED"/>
    <w:rsid w:val="000425D0"/>
    <w:rsid w:val="00046F33"/>
    <w:rsid w:val="000622B4"/>
    <w:rsid w:val="00073939"/>
    <w:rsid w:val="000757B5"/>
    <w:rsid w:val="00096B31"/>
    <w:rsid w:val="000A0218"/>
    <w:rsid w:val="000B1AB9"/>
    <w:rsid w:val="000B6FDA"/>
    <w:rsid w:val="000E3C36"/>
    <w:rsid w:val="000F4B3A"/>
    <w:rsid w:val="000F5A3E"/>
    <w:rsid w:val="0010105F"/>
    <w:rsid w:val="00105C36"/>
    <w:rsid w:val="00111B6B"/>
    <w:rsid w:val="0011220A"/>
    <w:rsid w:val="001263E2"/>
    <w:rsid w:val="001321BF"/>
    <w:rsid w:val="0013663B"/>
    <w:rsid w:val="0015479B"/>
    <w:rsid w:val="00162B55"/>
    <w:rsid w:val="001808CD"/>
    <w:rsid w:val="00197FD1"/>
    <w:rsid w:val="001B4E1C"/>
    <w:rsid w:val="001D4234"/>
    <w:rsid w:val="001F30E8"/>
    <w:rsid w:val="001F4845"/>
    <w:rsid w:val="00201B7F"/>
    <w:rsid w:val="002079DB"/>
    <w:rsid w:val="002270B8"/>
    <w:rsid w:val="00230DAF"/>
    <w:rsid w:val="00243DE3"/>
    <w:rsid w:val="00252C52"/>
    <w:rsid w:val="00275252"/>
    <w:rsid w:val="0028424C"/>
    <w:rsid w:val="002A77E6"/>
    <w:rsid w:val="002C0AAF"/>
    <w:rsid w:val="002C39AA"/>
    <w:rsid w:val="002E0BB7"/>
    <w:rsid w:val="002E420F"/>
    <w:rsid w:val="0032111D"/>
    <w:rsid w:val="003262F8"/>
    <w:rsid w:val="00337EC2"/>
    <w:rsid w:val="00342196"/>
    <w:rsid w:val="00345024"/>
    <w:rsid w:val="00346D55"/>
    <w:rsid w:val="00355668"/>
    <w:rsid w:val="00367C3F"/>
    <w:rsid w:val="00370B5F"/>
    <w:rsid w:val="00373AD6"/>
    <w:rsid w:val="003749F8"/>
    <w:rsid w:val="003A1515"/>
    <w:rsid w:val="003A18BD"/>
    <w:rsid w:val="003A5E1A"/>
    <w:rsid w:val="003B6298"/>
    <w:rsid w:val="003C0AD9"/>
    <w:rsid w:val="003C0D6A"/>
    <w:rsid w:val="003D20EB"/>
    <w:rsid w:val="003E1FF3"/>
    <w:rsid w:val="003F35DB"/>
    <w:rsid w:val="003F4DE3"/>
    <w:rsid w:val="003F6525"/>
    <w:rsid w:val="00400ADA"/>
    <w:rsid w:val="00407D47"/>
    <w:rsid w:val="00411899"/>
    <w:rsid w:val="0042214D"/>
    <w:rsid w:val="00426C1D"/>
    <w:rsid w:val="00426ECE"/>
    <w:rsid w:val="004375B1"/>
    <w:rsid w:val="00450D53"/>
    <w:rsid w:val="00475144"/>
    <w:rsid w:val="00475C51"/>
    <w:rsid w:val="004771D7"/>
    <w:rsid w:val="004A003B"/>
    <w:rsid w:val="004A5801"/>
    <w:rsid w:val="004B2D01"/>
    <w:rsid w:val="004C6458"/>
    <w:rsid w:val="004C762C"/>
    <w:rsid w:val="004D0962"/>
    <w:rsid w:val="004E724D"/>
    <w:rsid w:val="004E76C3"/>
    <w:rsid w:val="00502F31"/>
    <w:rsid w:val="00503BDE"/>
    <w:rsid w:val="00510C5A"/>
    <w:rsid w:val="00515D5D"/>
    <w:rsid w:val="0052147E"/>
    <w:rsid w:val="00521C56"/>
    <w:rsid w:val="00524122"/>
    <w:rsid w:val="00527092"/>
    <w:rsid w:val="00540048"/>
    <w:rsid w:val="00543F31"/>
    <w:rsid w:val="005570CE"/>
    <w:rsid w:val="005675D5"/>
    <w:rsid w:val="00581413"/>
    <w:rsid w:val="005A45C4"/>
    <w:rsid w:val="005B6BB7"/>
    <w:rsid w:val="005C56D8"/>
    <w:rsid w:val="005C5B7D"/>
    <w:rsid w:val="005D4E13"/>
    <w:rsid w:val="005D61F0"/>
    <w:rsid w:val="005E5EBC"/>
    <w:rsid w:val="005F230F"/>
    <w:rsid w:val="005F73D8"/>
    <w:rsid w:val="006108B7"/>
    <w:rsid w:val="00623121"/>
    <w:rsid w:val="00623501"/>
    <w:rsid w:val="0063715E"/>
    <w:rsid w:val="00655005"/>
    <w:rsid w:val="00657D46"/>
    <w:rsid w:val="0067786A"/>
    <w:rsid w:val="0068252A"/>
    <w:rsid w:val="006A08A4"/>
    <w:rsid w:val="006C44A5"/>
    <w:rsid w:val="006C643D"/>
    <w:rsid w:val="006D509A"/>
    <w:rsid w:val="006D5587"/>
    <w:rsid w:val="006E2131"/>
    <w:rsid w:val="006E7331"/>
    <w:rsid w:val="006F4600"/>
    <w:rsid w:val="00712AFC"/>
    <w:rsid w:val="00724225"/>
    <w:rsid w:val="00727E5C"/>
    <w:rsid w:val="00754944"/>
    <w:rsid w:val="00764F1A"/>
    <w:rsid w:val="00766D1A"/>
    <w:rsid w:val="00774E07"/>
    <w:rsid w:val="00777F5E"/>
    <w:rsid w:val="007816DF"/>
    <w:rsid w:val="0078416C"/>
    <w:rsid w:val="007850E2"/>
    <w:rsid w:val="0079371F"/>
    <w:rsid w:val="00793810"/>
    <w:rsid w:val="00794851"/>
    <w:rsid w:val="007B5ED7"/>
    <w:rsid w:val="007D7E51"/>
    <w:rsid w:val="007F0E7A"/>
    <w:rsid w:val="007F4861"/>
    <w:rsid w:val="007F5C64"/>
    <w:rsid w:val="0080159A"/>
    <w:rsid w:val="00810A80"/>
    <w:rsid w:val="00811E3C"/>
    <w:rsid w:val="008129FB"/>
    <w:rsid w:val="0082106B"/>
    <w:rsid w:val="00836B2D"/>
    <w:rsid w:val="00846CCC"/>
    <w:rsid w:val="00862482"/>
    <w:rsid w:val="0086778C"/>
    <w:rsid w:val="0087420E"/>
    <w:rsid w:val="008822EF"/>
    <w:rsid w:val="008A0A17"/>
    <w:rsid w:val="008B57C2"/>
    <w:rsid w:val="008C0F1F"/>
    <w:rsid w:val="008C1ED6"/>
    <w:rsid w:val="008C2EE8"/>
    <w:rsid w:val="008C3F16"/>
    <w:rsid w:val="008D0362"/>
    <w:rsid w:val="008E2E11"/>
    <w:rsid w:val="008E5410"/>
    <w:rsid w:val="008F1FDF"/>
    <w:rsid w:val="00902389"/>
    <w:rsid w:val="009057C0"/>
    <w:rsid w:val="00905E91"/>
    <w:rsid w:val="00906514"/>
    <w:rsid w:val="0091667C"/>
    <w:rsid w:val="009220A0"/>
    <w:rsid w:val="0092395A"/>
    <w:rsid w:val="00932924"/>
    <w:rsid w:val="009414AE"/>
    <w:rsid w:val="009472CD"/>
    <w:rsid w:val="009639DA"/>
    <w:rsid w:val="0097350B"/>
    <w:rsid w:val="009845AA"/>
    <w:rsid w:val="00984AC3"/>
    <w:rsid w:val="00991851"/>
    <w:rsid w:val="009A3A42"/>
    <w:rsid w:val="009B1D12"/>
    <w:rsid w:val="009B5DF4"/>
    <w:rsid w:val="009D0B22"/>
    <w:rsid w:val="009D6D05"/>
    <w:rsid w:val="009E3C0D"/>
    <w:rsid w:val="00A07C8D"/>
    <w:rsid w:val="00A256E8"/>
    <w:rsid w:val="00A27908"/>
    <w:rsid w:val="00A43899"/>
    <w:rsid w:val="00A5458F"/>
    <w:rsid w:val="00A615AC"/>
    <w:rsid w:val="00A762C1"/>
    <w:rsid w:val="00A81F5E"/>
    <w:rsid w:val="00A81FD2"/>
    <w:rsid w:val="00A848AF"/>
    <w:rsid w:val="00A86B27"/>
    <w:rsid w:val="00A870C5"/>
    <w:rsid w:val="00AA5FB5"/>
    <w:rsid w:val="00AB155A"/>
    <w:rsid w:val="00AB6ED1"/>
    <w:rsid w:val="00AE526F"/>
    <w:rsid w:val="00AE5B37"/>
    <w:rsid w:val="00B02309"/>
    <w:rsid w:val="00B1670E"/>
    <w:rsid w:val="00B23AF2"/>
    <w:rsid w:val="00B277F5"/>
    <w:rsid w:val="00B3448E"/>
    <w:rsid w:val="00B54869"/>
    <w:rsid w:val="00B55DD6"/>
    <w:rsid w:val="00B647BF"/>
    <w:rsid w:val="00B7291B"/>
    <w:rsid w:val="00B75639"/>
    <w:rsid w:val="00B80414"/>
    <w:rsid w:val="00B80EC3"/>
    <w:rsid w:val="00BB0A10"/>
    <w:rsid w:val="00BB1AC7"/>
    <w:rsid w:val="00BB4640"/>
    <w:rsid w:val="00BC51BD"/>
    <w:rsid w:val="00BD240B"/>
    <w:rsid w:val="00BD7D2D"/>
    <w:rsid w:val="00BE6F99"/>
    <w:rsid w:val="00BF1B8A"/>
    <w:rsid w:val="00BF5356"/>
    <w:rsid w:val="00C05D3B"/>
    <w:rsid w:val="00C4216C"/>
    <w:rsid w:val="00C432A0"/>
    <w:rsid w:val="00C5390C"/>
    <w:rsid w:val="00C53BCE"/>
    <w:rsid w:val="00C66144"/>
    <w:rsid w:val="00C762CD"/>
    <w:rsid w:val="00C839F8"/>
    <w:rsid w:val="00C93207"/>
    <w:rsid w:val="00CA23EA"/>
    <w:rsid w:val="00CA63FC"/>
    <w:rsid w:val="00CA6445"/>
    <w:rsid w:val="00CB68A6"/>
    <w:rsid w:val="00CC44E7"/>
    <w:rsid w:val="00CD4D9E"/>
    <w:rsid w:val="00CE6E5B"/>
    <w:rsid w:val="00CF6EBB"/>
    <w:rsid w:val="00D07A66"/>
    <w:rsid w:val="00D14345"/>
    <w:rsid w:val="00D17A63"/>
    <w:rsid w:val="00D261A3"/>
    <w:rsid w:val="00D43BCB"/>
    <w:rsid w:val="00D449A1"/>
    <w:rsid w:val="00D63394"/>
    <w:rsid w:val="00D64F22"/>
    <w:rsid w:val="00D80119"/>
    <w:rsid w:val="00D815AE"/>
    <w:rsid w:val="00D817AF"/>
    <w:rsid w:val="00D81F57"/>
    <w:rsid w:val="00D91628"/>
    <w:rsid w:val="00DB4823"/>
    <w:rsid w:val="00DC0237"/>
    <w:rsid w:val="00DC6F58"/>
    <w:rsid w:val="00DD1855"/>
    <w:rsid w:val="00DE35CE"/>
    <w:rsid w:val="00E07563"/>
    <w:rsid w:val="00E148C7"/>
    <w:rsid w:val="00E31C6B"/>
    <w:rsid w:val="00E52E1B"/>
    <w:rsid w:val="00E70D4A"/>
    <w:rsid w:val="00E75ACF"/>
    <w:rsid w:val="00E800CB"/>
    <w:rsid w:val="00E80D80"/>
    <w:rsid w:val="00EA406B"/>
    <w:rsid w:val="00EB5006"/>
    <w:rsid w:val="00EE0FF4"/>
    <w:rsid w:val="00EE6C0A"/>
    <w:rsid w:val="00F05712"/>
    <w:rsid w:val="00F117AB"/>
    <w:rsid w:val="00F1229B"/>
    <w:rsid w:val="00F17B9D"/>
    <w:rsid w:val="00F26EEF"/>
    <w:rsid w:val="00F308B1"/>
    <w:rsid w:val="00F54E4E"/>
    <w:rsid w:val="00F56C34"/>
    <w:rsid w:val="00F67693"/>
    <w:rsid w:val="00F71318"/>
    <w:rsid w:val="00F83F87"/>
    <w:rsid w:val="00F92A12"/>
    <w:rsid w:val="00F92F79"/>
    <w:rsid w:val="00FA1A60"/>
    <w:rsid w:val="00FB118C"/>
    <w:rsid w:val="00FC1271"/>
    <w:rsid w:val="00FD6EFF"/>
    <w:rsid w:val="00FE2E7C"/>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C5EB1"/>
  <w15:docId w15:val="{09A93E87-6868-4E3C-81CE-2B167EBA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05"/>
    <w:pPr>
      <w:spacing w:after="0" w:line="240" w:lineRule="auto"/>
    </w:pPr>
    <w:rPr>
      <w:rFonts w:ascii="Arial" w:eastAsia="Times New Roman" w:hAnsi="Arial" w:cs="Arial"/>
      <w:sz w:val="24"/>
      <w:szCs w:val="24"/>
    </w:rPr>
  </w:style>
  <w:style w:type="paragraph" w:styleId="Heading1">
    <w:name w:val="heading 1"/>
    <w:link w:val="Heading1Char"/>
    <w:uiPriority w:val="99"/>
    <w:qFormat/>
    <w:rsid w:val="008F1FDF"/>
    <w:pPr>
      <w:spacing w:after="0" w:line="240" w:lineRule="auto"/>
      <w:outlineLvl w:val="0"/>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944"/>
    <w:rPr>
      <w:rFonts w:ascii="Tahoma" w:hAnsi="Tahoma" w:cs="Tahoma"/>
      <w:sz w:val="16"/>
      <w:szCs w:val="16"/>
    </w:rPr>
  </w:style>
  <w:style w:type="character" w:customStyle="1" w:styleId="BalloonTextChar">
    <w:name w:val="Balloon Text Char"/>
    <w:basedOn w:val="DefaultParagraphFont"/>
    <w:link w:val="BalloonText"/>
    <w:uiPriority w:val="99"/>
    <w:semiHidden/>
    <w:rsid w:val="00754944"/>
    <w:rPr>
      <w:rFonts w:ascii="Tahoma" w:eastAsia="Times New Roman" w:hAnsi="Tahoma" w:cs="Tahoma"/>
      <w:sz w:val="16"/>
      <w:szCs w:val="16"/>
    </w:rPr>
  </w:style>
  <w:style w:type="paragraph" w:customStyle="1" w:styleId="content2">
    <w:name w:val="content2"/>
    <w:basedOn w:val="Normal"/>
    <w:rsid w:val="00A848AF"/>
    <w:pPr>
      <w:spacing w:before="100" w:beforeAutospacing="1" w:after="100" w:afterAutospacing="1"/>
    </w:pPr>
    <w:rPr>
      <w:rFonts w:ascii="Times New Roman" w:hAnsi="Times New Roman" w:cs="Times New Roman"/>
    </w:rPr>
  </w:style>
  <w:style w:type="paragraph" w:customStyle="1" w:styleId="incr2">
    <w:name w:val="incr2"/>
    <w:basedOn w:val="Normal"/>
    <w:rsid w:val="00A848AF"/>
    <w:pPr>
      <w:spacing w:before="100" w:beforeAutospacing="1" w:after="100" w:afterAutospacing="1"/>
    </w:pPr>
    <w:rPr>
      <w:rFonts w:ascii="Times New Roman" w:hAnsi="Times New Roman" w:cs="Times New Roman"/>
    </w:rPr>
  </w:style>
  <w:style w:type="paragraph" w:customStyle="1" w:styleId="content3">
    <w:name w:val="content3"/>
    <w:basedOn w:val="Normal"/>
    <w:rsid w:val="00A848AF"/>
    <w:pPr>
      <w:spacing w:before="100" w:beforeAutospacing="1" w:after="100" w:afterAutospacing="1"/>
    </w:pPr>
    <w:rPr>
      <w:rFonts w:ascii="Times New Roman" w:hAnsi="Times New Roman" w:cs="Times New Roman"/>
    </w:rPr>
  </w:style>
  <w:style w:type="paragraph" w:styleId="ListParagraph">
    <w:name w:val="List Paragraph"/>
    <w:basedOn w:val="Normal"/>
    <w:uiPriority w:val="1"/>
    <w:qFormat/>
    <w:rsid w:val="00A848AF"/>
    <w:pPr>
      <w:ind w:left="720"/>
      <w:contextualSpacing/>
    </w:pPr>
  </w:style>
  <w:style w:type="paragraph" w:customStyle="1" w:styleId="content1">
    <w:name w:val="content1"/>
    <w:basedOn w:val="Normal"/>
    <w:rsid w:val="00A848AF"/>
    <w:pPr>
      <w:spacing w:before="100" w:beforeAutospacing="1" w:after="100" w:afterAutospacing="1"/>
    </w:pPr>
    <w:rPr>
      <w:rFonts w:ascii="Times New Roman" w:hAnsi="Times New Roman" w:cs="Times New Roman"/>
    </w:rPr>
  </w:style>
  <w:style w:type="paragraph" w:customStyle="1" w:styleId="incr1">
    <w:name w:val="incr1"/>
    <w:basedOn w:val="Normal"/>
    <w:rsid w:val="00A848AF"/>
    <w:pPr>
      <w:spacing w:before="100" w:beforeAutospacing="1" w:after="100" w:afterAutospacing="1"/>
    </w:pPr>
    <w:rPr>
      <w:rFonts w:ascii="Times New Roman" w:hAnsi="Times New Roman" w:cs="Times New Roman"/>
    </w:rPr>
  </w:style>
  <w:style w:type="character" w:customStyle="1" w:styleId="ewa-itemtext1">
    <w:name w:val="ewa-itemtext1"/>
    <w:basedOn w:val="DefaultParagraphFont"/>
    <w:rsid w:val="0078416C"/>
    <w:rPr>
      <w:b w:val="0"/>
      <w:bCs w:val="0"/>
      <w:sz w:val="21"/>
      <w:szCs w:val="21"/>
    </w:rPr>
  </w:style>
  <w:style w:type="paragraph" w:customStyle="1" w:styleId="Default">
    <w:name w:val="Default"/>
    <w:rsid w:val="00252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D4D9E"/>
  </w:style>
  <w:style w:type="character" w:styleId="Hyperlink">
    <w:name w:val="Hyperlink"/>
    <w:basedOn w:val="DefaultParagraphFont"/>
    <w:uiPriority w:val="99"/>
    <w:semiHidden/>
    <w:unhideWhenUsed/>
    <w:rsid w:val="00CD4D9E"/>
    <w:rPr>
      <w:color w:val="0000FF"/>
      <w:u w:val="single"/>
    </w:rPr>
  </w:style>
  <w:style w:type="character" w:customStyle="1" w:styleId="ewa-summaryreportsponsor1">
    <w:name w:val="ewa-summaryreportsponsor1"/>
    <w:basedOn w:val="DefaultParagraphFont"/>
    <w:rsid w:val="00D261A3"/>
    <w:rPr>
      <w:b/>
      <w:bCs/>
      <w:sz w:val="21"/>
      <w:szCs w:val="21"/>
    </w:rPr>
  </w:style>
  <w:style w:type="character" w:customStyle="1" w:styleId="ewa-normal">
    <w:name w:val="ewa-normal"/>
    <w:basedOn w:val="DefaultParagraphFont"/>
    <w:rsid w:val="001D4234"/>
  </w:style>
  <w:style w:type="character" w:customStyle="1" w:styleId="ew-normal1">
    <w:name w:val="ew-normal1"/>
    <w:rsid w:val="00162B55"/>
    <w:rPr>
      <w:b w:val="0"/>
      <w:bCs w:val="0"/>
      <w:color w:val="000000"/>
      <w:sz w:val="18"/>
      <w:szCs w:val="18"/>
    </w:rPr>
  </w:style>
  <w:style w:type="character" w:customStyle="1" w:styleId="Heading1Char">
    <w:name w:val="Heading 1 Char"/>
    <w:basedOn w:val="DefaultParagraphFont"/>
    <w:link w:val="Heading1"/>
    <w:uiPriority w:val="99"/>
    <w:rsid w:val="008F1FDF"/>
    <w:rPr>
      <w:rFonts w:ascii="Calibri" w:eastAsia="Times New Roman" w:hAnsi="Calibri" w:cs="Times New Roman"/>
      <w:sz w:val="20"/>
      <w:szCs w:val="20"/>
    </w:rPr>
  </w:style>
  <w:style w:type="table" w:styleId="TableGrid">
    <w:name w:val="Table Grid"/>
    <w:basedOn w:val="TableNormal"/>
    <w:uiPriority w:val="39"/>
    <w:rsid w:val="00C762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2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62CD"/>
    <w:rPr>
      <w:sz w:val="20"/>
      <w:szCs w:val="20"/>
    </w:rPr>
  </w:style>
  <w:style w:type="character" w:styleId="FootnoteReference">
    <w:name w:val="footnote reference"/>
    <w:basedOn w:val="DefaultParagraphFont"/>
    <w:uiPriority w:val="99"/>
    <w:semiHidden/>
    <w:unhideWhenUsed/>
    <w:rsid w:val="00C762CD"/>
    <w:rPr>
      <w:vertAlign w:val="superscript"/>
    </w:rPr>
  </w:style>
  <w:style w:type="paragraph" w:styleId="Header">
    <w:name w:val="header"/>
    <w:basedOn w:val="Normal"/>
    <w:link w:val="HeaderChar"/>
    <w:uiPriority w:val="99"/>
    <w:unhideWhenUsed/>
    <w:rsid w:val="00E07563"/>
    <w:pPr>
      <w:tabs>
        <w:tab w:val="center" w:pos="4680"/>
        <w:tab w:val="right" w:pos="9360"/>
      </w:tabs>
    </w:pPr>
  </w:style>
  <w:style w:type="character" w:customStyle="1" w:styleId="HeaderChar">
    <w:name w:val="Header Char"/>
    <w:basedOn w:val="DefaultParagraphFont"/>
    <w:link w:val="Header"/>
    <w:uiPriority w:val="99"/>
    <w:rsid w:val="00E07563"/>
    <w:rPr>
      <w:rFonts w:ascii="Arial" w:eastAsia="Times New Roman" w:hAnsi="Arial" w:cs="Arial"/>
      <w:sz w:val="24"/>
      <w:szCs w:val="24"/>
    </w:rPr>
  </w:style>
  <w:style w:type="paragraph" w:styleId="Footer">
    <w:name w:val="footer"/>
    <w:basedOn w:val="Normal"/>
    <w:link w:val="FooterChar"/>
    <w:uiPriority w:val="99"/>
    <w:unhideWhenUsed/>
    <w:rsid w:val="00E07563"/>
    <w:pPr>
      <w:tabs>
        <w:tab w:val="center" w:pos="4680"/>
        <w:tab w:val="right" w:pos="9360"/>
      </w:tabs>
    </w:pPr>
  </w:style>
  <w:style w:type="character" w:customStyle="1" w:styleId="FooterChar">
    <w:name w:val="Footer Char"/>
    <w:basedOn w:val="DefaultParagraphFont"/>
    <w:link w:val="Footer"/>
    <w:uiPriority w:val="99"/>
    <w:rsid w:val="00E0756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192">
      <w:bodyDiv w:val="1"/>
      <w:marLeft w:val="0"/>
      <w:marRight w:val="0"/>
      <w:marTop w:val="0"/>
      <w:marBottom w:val="0"/>
      <w:divBdr>
        <w:top w:val="none" w:sz="0" w:space="0" w:color="auto"/>
        <w:left w:val="none" w:sz="0" w:space="0" w:color="auto"/>
        <w:bottom w:val="none" w:sz="0" w:space="0" w:color="auto"/>
        <w:right w:val="none" w:sz="0" w:space="0" w:color="auto"/>
      </w:divBdr>
    </w:div>
    <w:div w:id="647512450">
      <w:bodyDiv w:val="1"/>
      <w:marLeft w:val="0"/>
      <w:marRight w:val="0"/>
      <w:marTop w:val="0"/>
      <w:marBottom w:val="0"/>
      <w:divBdr>
        <w:top w:val="none" w:sz="0" w:space="0" w:color="auto"/>
        <w:left w:val="none" w:sz="0" w:space="0" w:color="auto"/>
        <w:bottom w:val="none" w:sz="0" w:space="0" w:color="auto"/>
        <w:right w:val="none" w:sz="0" w:space="0" w:color="auto"/>
      </w:divBdr>
    </w:div>
    <w:div w:id="791361511">
      <w:bodyDiv w:val="1"/>
      <w:marLeft w:val="0"/>
      <w:marRight w:val="0"/>
      <w:marTop w:val="0"/>
      <w:marBottom w:val="0"/>
      <w:divBdr>
        <w:top w:val="none" w:sz="0" w:space="0" w:color="auto"/>
        <w:left w:val="none" w:sz="0" w:space="0" w:color="auto"/>
        <w:bottom w:val="none" w:sz="0" w:space="0" w:color="auto"/>
        <w:right w:val="none" w:sz="0" w:space="0" w:color="auto"/>
      </w:divBdr>
    </w:div>
    <w:div w:id="1000549850">
      <w:bodyDiv w:val="1"/>
      <w:marLeft w:val="0"/>
      <w:marRight w:val="0"/>
      <w:marTop w:val="0"/>
      <w:marBottom w:val="0"/>
      <w:divBdr>
        <w:top w:val="none" w:sz="0" w:space="0" w:color="auto"/>
        <w:left w:val="none" w:sz="0" w:space="0" w:color="auto"/>
        <w:bottom w:val="none" w:sz="0" w:space="0" w:color="auto"/>
        <w:right w:val="none" w:sz="0" w:space="0" w:color="auto"/>
      </w:divBdr>
    </w:div>
    <w:div w:id="1075323562">
      <w:bodyDiv w:val="1"/>
      <w:marLeft w:val="0"/>
      <w:marRight w:val="0"/>
      <w:marTop w:val="0"/>
      <w:marBottom w:val="0"/>
      <w:divBdr>
        <w:top w:val="none" w:sz="0" w:space="0" w:color="auto"/>
        <w:left w:val="none" w:sz="0" w:space="0" w:color="auto"/>
        <w:bottom w:val="none" w:sz="0" w:space="0" w:color="auto"/>
        <w:right w:val="none" w:sz="0" w:space="0" w:color="auto"/>
      </w:divBdr>
    </w:div>
    <w:div w:id="1258443708">
      <w:bodyDiv w:val="1"/>
      <w:marLeft w:val="0"/>
      <w:marRight w:val="0"/>
      <w:marTop w:val="0"/>
      <w:marBottom w:val="0"/>
      <w:divBdr>
        <w:top w:val="none" w:sz="0" w:space="0" w:color="auto"/>
        <w:left w:val="none" w:sz="0" w:space="0" w:color="auto"/>
        <w:bottom w:val="none" w:sz="0" w:space="0" w:color="auto"/>
        <w:right w:val="none" w:sz="0" w:space="0" w:color="auto"/>
      </w:divBdr>
    </w:div>
    <w:div w:id="1764915689">
      <w:bodyDiv w:val="1"/>
      <w:marLeft w:val="0"/>
      <w:marRight w:val="0"/>
      <w:marTop w:val="0"/>
      <w:marBottom w:val="0"/>
      <w:divBdr>
        <w:top w:val="none" w:sz="0" w:space="0" w:color="auto"/>
        <w:left w:val="none" w:sz="0" w:space="0" w:color="auto"/>
        <w:bottom w:val="none" w:sz="0" w:space="0" w:color="auto"/>
        <w:right w:val="none" w:sz="0" w:space="0" w:color="auto"/>
      </w:divBdr>
    </w:div>
    <w:div w:id="1845170556">
      <w:bodyDiv w:val="1"/>
      <w:marLeft w:val="0"/>
      <w:marRight w:val="0"/>
      <w:marTop w:val="0"/>
      <w:marBottom w:val="0"/>
      <w:divBdr>
        <w:top w:val="none" w:sz="0" w:space="0" w:color="auto"/>
        <w:left w:val="none" w:sz="0" w:space="0" w:color="auto"/>
        <w:bottom w:val="none" w:sz="0" w:space="0" w:color="auto"/>
        <w:right w:val="none" w:sz="0" w:space="0" w:color="auto"/>
      </w:divBdr>
    </w:div>
    <w:div w:id="1871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O'Neil</dc:creator>
  <cp:lastModifiedBy>Jonathan Silverstein</cp:lastModifiedBy>
  <cp:revision>2</cp:revision>
  <dcterms:created xsi:type="dcterms:W3CDTF">2021-02-09T17:56:00Z</dcterms:created>
  <dcterms:modified xsi:type="dcterms:W3CDTF">2021-02-09T17:56:00Z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20210209122629275</vt:lpwstr>
  </property>
</Properties>
</file>