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654F" w14:textId="3DAE00C5" w:rsidR="00F00045" w:rsidRPr="00A413DD" w:rsidRDefault="00A413DD" w:rsidP="00273B03">
      <w:pPr>
        <w:pStyle w:val="NoSpacing"/>
        <w:jc w:val="center"/>
        <w:rPr>
          <w:b/>
          <w:sz w:val="28"/>
          <w:szCs w:val="28"/>
          <w:lang w:val="es-MX"/>
        </w:rPr>
      </w:pPr>
      <w:r w:rsidRPr="00A413DD">
        <w:rPr>
          <w:b/>
          <w:sz w:val="28"/>
          <w:szCs w:val="28"/>
          <w:lang w:val="es-MX"/>
        </w:rPr>
        <w:t xml:space="preserve">Programa de Rehabilitación de Viviendas de la </w:t>
      </w:r>
      <w:r>
        <w:rPr>
          <w:b/>
          <w:sz w:val="28"/>
          <w:szCs w:val="28"/>
          <w:lang w:val="es-MX"/>
        </w:rPr>
        <w:t xml:space="preserve">Ciudad de </w:t>
      </w:r>
      <w:r w:rsidR="00F00045" w:rsidRPr="00A413DD">
        <w:rPr>
          <w:b/>
          <w:sz w:val="28"/>
          <w:szCs w:val="28"/>
          <w:lang w:val="es-MX"/>
        </w:rPr>
        <w:t xml:space="preserve">Everett </w:t>
      </w:r>
    </w:p>
    <w:p w14:paraId="673F5D0A" w14:textId="61CC0809" w:rsidR="00A26DC6" w:rsidRPr="00CF11AA" w:rsidRDefault="00E478D6" w:rsidP="00273B03">
      <w:pPr>
        <w:pStyle w:val="NoSpacing"/>
        <w:jc w:val="center"/>
        <w:rPr>
          <w:lang w:val="es-MX"/>
        </w:rPr>
      </w:pPr>
      <w:r>
        <w:rPr>
          <w:b/>
          <w:sz w:val="28"/>
          <w:szCs w:val="28"/>
          <w:lang w:val="es-MX"/>
        </w:rPr>
        <w:t xml:space="preserve">Directrices </w:t>
      </w:r>
      <w:r w:rsidR="00A26DC6" w:rsidRPr="00CF11AA">
        <w:rPr>
          <w:b/>
          <w:sz w:val="28"/>
          <w:szCs w:val="28"/>
          <w:lang w:val="es-MX"/>
        </w:rPr>
        <w:t>Genera</w:t>
      </w:r>
      <w:r>
        <w:rPr>
          <w:b/>
          <w:sz w:val="28"/>
          <w:szCs w:val="28"/>
          <w:lang w:val="es-MX"/>
        </w:rPr>
        <w:t>les del Programa</w:t>
      </w:r>
    </w:p>
    <w:p w14:paraId="04E14491" w14:textId="77777777" w:rsidR="00273B03" w:rsidRPr="00CF11AA" w:rsidRDefault="00273B03" w:rsidP="00273B03">
      <w:pPr>
        <w:pStyle w:val="NoSpacing"/>
        <w:jc w:val="center"/>
        <w:rPr>
          <w:lang w:val="es-MX"/>
        </w:rPr>
      </w:pPr>
    </w:p>
    <w:p w14:paraId="36DA9DBE" w14:textId="49B6993D" w:rsidR="0060704E" w:rsidRPr="00D868B0" w:rsidRDefault="00A413DD" w:rsidP="00F00045">
      <w:pPr>
        <w:spacing w:after="100" w:afterAutospacing="1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60704E">
        <w:rPr>
          <w:rFonts w:ascii="Verdana" w:eastAsia="Times New Roman" w:hAnsi="Verdana"/>
          <w:sz w:val="18"/>
          <w:szCs w:val="18"/>
          <w:lang w:val="es-MX"/>
        </w:rPr>
        <w:t>EL Program</w:t>
      </w:r>
      <w:r w:rsidR="0060704E" w:rsidRPr="0060704E">
        <w:rPr>
          <w:rFonts w:ascii="Verdana" w:eastAsia="Times New Roman" w:hAnsi="Verdana"/>
          <w:sz w:val="18"/>
          <w:szCs w:val="18"/>
          <w:lang w:val="es-MX"/>
        </w:rPr>
        <w:t>a</w:t>
      </w:r>
      <w:r w:rsidRPr="0060704E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60704E" w:rsidRPr="0060704E">
        <w:rPr>
          <w:rFonts w:ascii="Verdana" w:eastAsia="Times New Roman" w:hAnsi="Verdana"/>
          <w:sz w:val="18"/>
          <w:szCs w:val="18"/>
          <w:lang w:val="es-MX"/>
        </w:rPr>
        <w:t>de Rehabilitación</w:t>
      </w:r>
      <w:r w:rsidR="00E478D6">
        <w:rPr>
          <w:rFonts w:ascii="Verdana" w:eastAsia="Times New Roman" w:hAnsi="Verdana"/>
          <w:sz w:val="18"/>
          <w:szCs w:val="18"/>
          <w:lang w:val="es-MX"/>
        </w:rPr>
        <w:t xml:space="preserve"> Urgente</w:t>
      </w:r>
      <w:r w:rsidR="00E14021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60704E" w:rsidRPr="0060704E">
        <w:rPr>
          <w:rFonts w:ascii="Verdana" w:eastAsia="Times New Roman" w:hAnsi="Verdana"/>
          <w:sz w:val="18"/>
          <w:szCs w:val="18"/>
          <w:lang w:val="es-MX"/>
        </w:rPr>
        <w:t>de Vivienda</w:t>
      </w:r>
      <w:r w:rsidR="00E14021">
        <w:rPr>
          <w:rFonts w:ascii="Verdana" w:eastAsia="Times New Roman" w:hAnsi="Verdana"/>
          <w:sz w:val="18"/>
          <w:szCs w:val="18"/>
          <w:lang w:val="es-MX"/>
        </w:rPr>
        <w:t>s</w:t>
      </w:r>
      <w:r w:rsidR="0060704E">
        <w:rPr>
          <w:rFonts w:ascii="Verdana" w:eastAsia="Times New Roman" w:hAnsi="Verdana"/>
          <w:sz w:val="18"/>
          <w:szCs w:val="18"/>
          <w:lang w:val="es-MX"/>
        </w:rPr>
        <w:t xml:space="preserve"> aporta a los propietarios de viviendas</w:t>
      </w:r>
      <w:r w:rsidR="00E14021">
        <w:rPr>
          <w:rFonts w:ascii="Verdana" w:eastAsia="Times New Roman" w:hAnsi="Verdana"/>
          <w:sz w:val="18"/>
          <w:szCs w:val="18"/>
          <w:lang w:val="es-MX"/>
        </w:rPr>
        <w:t xml:space="preserve"> ubicadas</w:t>
      </w:r>
      <w:r w:rsidR="0060704E">
        <w:rPr>
          <w:rFonts w:ascii="Verdana" w:eastAsia="Times New Roman" w:hAnsi="Verdana"/>
          <w:sz w:val="18"/>
          <w:szCs w:val="18"/>
          <w:lang w:val="es-MX"/>
        </w:rPr>
        <w:t xml:space="preserve"> dentro de la Ciudad de Everett, </w:t>
      </w:r>
      <w:r w:rsidR="0060704E" w:rsidRPr="0060704E">
        <w:rPr>
          <w:rFonts w:ascii="Verdana" w:eastAsia="Times New Roman" w:hAnsi="Verdana"/>
          <w:sz w:val="18"/>
          <w:szCs w:val="18"/>
          <w:lang w:val="es-MX"/>
        </w:rPr>
        <w:t>préstamos</w:t>
      </w:r>
      <w:r w:rsidR="0060704E">
        <w:rPr>
          <w:rFonts w:ascii="Verdana" w:eastAsia="Times New Roman" w:hAnsi="Verdana"/>
          <w:sz w:val="18"/>
          <w:szCs w:val="18"/>
          <w:lang w:val="es-MX"/>
        </w:rPr>
        <w:t xml:space="preserve"> de pagos aplazados, para mejoras aprobadas, necesarias y </w:t>
      </w:r>
      <w:r w:rsidR="00713136">
        <w:rPr>
          <w:rFonts w:ascii="Verdana" w:eastAsia="Times New Roman" w:hAnsi="Verdana"/>
          <w:sz w:val="18"/>
          <w:szCs w:val="18"/>
          <w:lang w:val="es-MX"/>
        </w:rPr>
        <w:t>urgentes</w:t>
      </w:r>
      <w:r w:rsidR="0060704E">
        <w:rPr>
          <w:rFonts w:ascii="Verdana" w:eastAsia="Times New Roman" w:hAnsi="Verdana"/>
          <w:sz w:val="18"/>
          <w:szCs w:val="18"/>
          <w:lang w:val="es-MX"/>
        </w:rPr>
        <w:t xml:space="preserve">.  </w:t>
      </w:r>
      <w:r w:rsidR="00CF11AA" w:rsidRPr="00CF11AA">
        <w:rPr>
          <w:rFonts w:ascii="Verdana" w:eastAsia="Times New Roman" w:hAnsi="Verdana"/>
          <w:sz w:val="18"/>
          <w:szCs w:val="18"/>
          <w:lang w:val="es-MX"/>
        </w:rPr>
        <w:t>Se da preferencia a aquellos propietarios de viviendas ubicados den</w:t>
      </w:r>
      <w:r w:rsidR="00CF11AA">
        <w:rPr>
          <w:rFonts w:ascii="Verdana" w:eastAsia="Times New Roman" w:hAnsi="Verdana"/>
          <w:sz w:val="18"/>
          <w:szCs w:val="18"/>
          <w:lang w:val="es-MX"/>
        </w:rPr>
        <w:t>tro de la zona</w:t>
      </w:r>
      <w:r w:rsidR="00AD437B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DA60F1">
        <w:rPr>
          <w:rFonts w:ascii="Verdana" w:eastAsia="Times New Roman" w:hAnsi="Verdana"/>
          <w:sz w:val="18"/>
          <w:szCs w:val="18"/>
          <w:lang w:val="es-MX"/>
        </w:rPr>
        <w:t xml:space="preserve">de </w:t>
      </w:r>
      <w:r w:rsidR="00713136">
        <w:rPr>
          <w:rFonts w:ascii="Verdana" w:eastAsia="Times New Roman" w:hAnsi="Verdana"/>
          <w:sz w:val="18"/>
          <w:szCs w:val="18"/>
          <w:lang w:val="es-MX"/>
        </w:rPr>
        <w:t xml:space="preserve">objetivo </w:t>
      </w:r>
      <w:r w:rsidR="00AD437B">
        <w:rPr>
          <w:rFonts w:ascii="Verdana" w:eastAsia="Times New Roman" w:hAnsi="Verdana"/>
          <w:sz w:val="18"/>
          <w:szCs w:val="18"/>
          <w:lang w:val="es-MX"/>
        </w:rPr>
        <w:t>geográfica</w:t>
      </w:r>
      <w:r w:rsidR="00CF11AA">
        <w:rPr>
          <w:rFonts w:ascii="Verdana" w:eastAsia="Times New Roman" w:hAnsi="Verdana"/>
          <w:sz w:val="18"/>
          <w:szCs w:val="18"/>
          <w:lang w:val="es-MX"/>
        </w:rPr>
        <w:t xml:space="preserve"> (Sírvase </w:t>
      </w:r>
      <w:r w:rsidR="00AD437B">
        <w:rPr>
          <w:rFonts w:ascii="Verdana" w:eastAsia="Times New Roman" w:hAnsi="Verdana"/>
          <w:sz w:val="18"/>
          <w:szCs w:val="18"/>
          <w:lang w:val="es-MX"/>
        </w:rPr>
        <w:t>consultar</w:t>
      </w:r>
      <w:r w:rsidR="00CF11AA">
        <w:rPr>
          <w:rFonts w:ascii="Verdana" w:eastAsia="Times New Roman" w:hAnsi="Verdana"/>
          <w:sz w:val="18"/>
          <w:szCs w:val="18"/>
          <w:lang w:val="es-MX"/>
        </w:rPr>
        <w:t xml:space="preserve"> el mapa y la descripción de la zona de </w:t>
      </w:r>
      <w:r w:rsidR="008A155F">
        <w:rPr>
          <w:rFonts w:ascii="Verdana" w:eastAsia="Times New Roman" w:hAnsi="Verdana"/>
          <w:sz w:val="18"/>
          <w:szCs w:val="18"/>
          <w:lang w:val="es-MX"/>
        </w:rPr>
        <w:t>objetivo</w:t>
      </w:r>
      <w:r w:rsidR="00CF11AA">
        <w:rPr>
          <w:rFonts w:ascii="Verdana" w:eastAsia="Times New Roman" w:hAnsi="Verdana"/>
          <w:sz w:val="18"/>
          <w:szCs w:val="18"/>
          <w:lang w:val="es-MX"/>
        </w:rPr>
        <w:t xml:space="preserve">).  </w:t>
      </w:r>
      <w:r w:rsidR="00CF11AA" w:rsidRPr="00D868B0">
        <w:rPr>
          <w:rFonts w:ascii="Verdana" w:eastAsia="Times New Roman" w:hAnsi="Verdana"/>
          <w:sz w:val="18"/>
          <w:szCs w:val="18"/>
          <w:lang w:val="es-MX"/>
        </w:rPr>
        <w:t xml:space="preserve">Los </w:t>
      </w:r>
      <w:r w:rsidR="00D868B0" w:rsidRPr="00D868B0">
        <w:rPr>
          <w:rFonts w:ascii="Verdana" w:eastAsia="Times New Roman" w:hAnsi="Verdana"/>
          <w:sz w:val="18"/>
          <w:szCs w:val="18"/>
          <w:lang w:val="es-MX"/>
        </w:rPr>
        <w:t>propietarios de viviendas de ingresos elegibles, y/</w:t>
      </w:r>
      <w:r w:rsidR="00D868B0">
        <w:rPr>
          <w:rFonts w:ascii="Verdana" w:eastAsia="Times New Roman" w:hAnsi="Verdana"/>
          <w:sz w:val="18"/>
          <w:szCs w:val="18"/>
          <w:lang w:val="es-MX"/>
        </w:rPr>
        <w:t xml:space="preserve">o aquellos que arriendan a inquilinos de ingresos elegibles, pueden recibir ayuda financiera y técnica para realizar mejoras </w:t>
      </w:r>
      <w:r w:rsidR="007867EB">
        <w:rPr>
          <w:rFonts w:ascii="Verdana" w:eastAsia="Times New Roman" w:hAnsi="Verdana"/>
          <w:sz w:val="18"/>
          <w:szCs w:val="18"/>
          <w:lang w:val="es-MX"/>
        </w:rPr>
        <w:t>materiale</w:t>
      </w:r>
      <w:r w:rsidR="00D868B0">
        <w:rPr>
          <w:rFonts w:ascii="Verdana" w:eastAsia="Times New Roman" w:hAnsi="Verdana"/>
          <w:sz w:val="18"/>
          <w:szCs w:val="18"/>
          <w:lang w:val="es-MX"/>
        </w:rPr>
        <w:t xml:space="preserve">s a dicha propiedad.  </w:t>
      </w:r>
    </w:p>
    <w:p w14:paraId="75792720" w14:textId="7F3C36D6" w:rsidR="00BA6859" w:rsidRPr="0029174B" w:rsidRDefault="00686DB5" w:rsidP="00BA6859">
      <w:pPr>
        <w:spacing w:after="100" w:afterAutospacing="1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7867EB">
        <w:rPr>
          <w:rFonts w:ascii="Verdana" w:eastAsia="Times New Roman" w:hAnsi="Verdana"/>
          <w:sz w:val="18"/>
          <w:szCs w:val="18"/>
          <w:lang w:val="es-MX"/>
        </w:rPr>
        <w:t xml:space="preserve">  </w:t>
      </w:r>
      <w:r w:rsidR="00BA6859" w:rsidRPr="0029174B">
        <w:rPr>
          <w:rFonts w:ascii="Verdana" w:eastAsia="Times New Roman" w:hAnsi="Verdana"/>
          <w:sz w:val="18"/>
          <w:szCs w:val="18"/>
          <w:lang w:val="es-MX"/>
        </w:rPr>
        <w:t>L</w:t>
      </w:r>
      <w:r w:rsidR="00572817" w:rsidRPr="0029174B">
        <w:rPr>
          <w:rFonts w:ascii="Verdana" w:eastAsia="Times New Roman" w:hAnsi="Verdana"/>
          <w:sz w:val="18"/>
          <w:szCs w:val="18"/>
          <w:lang w:val="es-MX"/>
        </w:rPr>
        <w:t xml:space="preserve">os </w:t>
      </w:r>
      <w:r w:rsidR="007867EB" w:rsidRPr="0029174B">
        <w:rPr>
          <w:rFonts w:ascii="Verdana" w:eastAsia="Times New Roman" w:hAnsi="Verdana"/>
          <w:sz w:val="18"/>
          <w:szCs w:val="18"/>
          <w:lang w:val="es-MX"/>
        </w:rPr>
        <w:t>límites</w:t>
      </w:r>
      <w:r w:rsidR="00572817" w:rsidRPr="0029174B">
        <w:rPr>
          <w:rFonts w:ascii="Verdana" w:eastAsia="Times New Roman" w:hAnsi="Verdana"/>
          <w:sz w:val="18"/>
          <w:szCs w:val="18"/>
          <w:lang w:val="es-MX"/>
        </w:rPr>
        <w:t xml:space="preserve"> de ingresos anuales </w:t>
      </w:r>
      <w:r w:rsidR="008A155F" w:rsidRPr="0029174B">
        <w:rPr>
          <w:rFonts w:ascii="Verdana" w:eastAsia="Times New Roman" w:hAnsi="Verdana"/>
          <w:sz w:val="18"/>
          <w:szCs w:val="18"/>
          <w:lang w:val="es-MX"/>
        </w:rPr>
        <w:t xml:space="preserve">brutos </w:t>
      </w:r>
      <w:r w:rsidR="00572817" w:rsidRPr="0029174B">
        <w:rPr>
          <w:rFonts w:ascii="Verdana" w:eastAsia="Times New Roman" w:hAnsi="Verdana"/>
          <w:sz w:val="18"/>
          <w:szCs w:val="18"/>
          <w:lang w:val="es-MX"/>
        </w:rPr>
        <w:t>por hogar son los siguientes</w:t>
      </w:r>
      <w:r w:rsidR="00BA6859" w:rsidRPr="0029174B">
        <w:rPr>
          <w:rFonts w:ascii="Verdana" w:eastAsia="Times New Roman" w:hAnsi="Verdana"/>
          <w:sz w:val="18"/>
          <w:szCs w:val="18"/>
          <w:lang w:val="es-MX"/>
        </w:rPr>
        <w:t xml:space="preserve">:  </w:t>
      </w:r>
    </w:p>
    <w:tbl>
      <w:tblPr>
        <w:tblW w:w="1016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795"/>
        <w:gridCol w:w="1030"/>
        <w:gridCol w:w="1221"/>
        <w:gridCol w:w="1223"/>
        <w:gridCol w:w="1223"/>
        <w:gridCol w:w="1223"/>
        <w:gridCol w:w="1223"/>
        <w:gridCol w:w="1223"/>
      </w:tblGrid>
      <w:tr w:rsidR="00DE07C9" w:rsidRPr="008428FD" w14:paraId="5E70EDDC" w14:textId="77777777" w:rsidTr="006E208F">
        <w:trPr>
          <w:trHeight w:val="674"/>
        </w:trPr>
        <w:tc>
          <w:tcPr>
            <w:tcW w:w="180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43DEFC39" w14:textId="07CF64FB" w:rsidR="00BA6859" w:rsidRPr="00886752" w:rsidRDefault="0029174B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MX"/>
              </w:rPr>
            </w:pPr>
            <w:r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MX"/>
              </w:rPr>
              <w:t>Tama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MX"/>
              </w:rPr>
              <w:t>ño de la unidad familiar</w:t>
            </w:r>
            <w:r w:rsidR="00BA6859" w:rsidRP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5C7EEB73" w14:textId="294D26DB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1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</w:t>
            </w:r>
          </w:p>
        </w:tc>
        <w:tc>
          <w:tcPr>
            <w:tcW w:w="12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0C1B8554" w14:textId="4CD491A3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2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personas</w:t>
            </w:r>
          </w:p>
        </w:tc>
        <w:tc>
          <w:tcPr>
            <w:tcW w:w="123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16D6A63C" w14:textId="7360F45F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3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personas</w:t>
            </w:r>
          </w:p>
        </w:tc>
        <w:tc>
          <w:tcPr>
            <w:tcW w:w="123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43B4008C" w14:textId="36A5D950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4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personas</w:t>
            </w:r>
          </w:p>
        </w:tc>
        <w:tc>
          <w:tcPr>
            <w:tcW w:w="123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6B85CFE7" w14:textId="63E6E8C5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5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personas</w:t>
            </w:r>
          </w:p>
        </w:tc>
        <w:tc>
          <w:tcPr>
            <w:tcW w:w="123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0785B0FB" w14:textId="4612283C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6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personas</w:t>
            </w:r>
          </w:p>
        </w:tc>
        <w:tc>
          <w:tcPr>
            <w:tcW w:w="123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14:paraId="2EE33B91" w14:textId="76AA80A6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7 </w:t>
            </w:r>
            <w:r w:rsidR="00886752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personas</w:t>
            </w:r>
          </w:p>
        </w:tc>
      </w:tr>
      <w:tr w:rsidR="00DE07C9" w:rsidRPr="008428FD" w14:paraId="10BC8D35" w14:textId="77777777" w:rsidTr="006E208F">
        <w:trPr>
          <w:trHeight w:val="924"/>
        </w:trPr>
        <w:tc>
          <w:tcPr>
            <w:tcW w:w="1800" w:type="dxa"/>
            <w:tcBorders>
              <w:top w:val="nil"/>
            </w:tcBorders>
            <w:shd w:val="clear" w:color="auto" w:fill="D3DFEE"/>
            <w:hideMark/>
          </w:tcPr>
          <w:p w14:paraId="2D61F600" w14:textId="192C0D2F" w:rsidR="00BA6859" w:rsidRPr="00CA7097" w:rsidRDefault="00BA6859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</w:pPr>
            <w:proofErr w:type="spellStart"/>
            <w:r w:rsidRPr="00CA7097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>E</w:t>
            </w:r>
            <w:r w:rsidR="00F65F66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>xtrama</w:t>
            </w:r>
            <w:r w:rsidR="00370A17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>da</w:t>
            </w:r>
            <w:r w:rsidR="00CA7097" w:rsidRPr="00CA7097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>mente</w:t>
            </w:r>
            <w:proofErr w:type="spellEnd"/>
            <w:r w:rsidR="00CA7097" w:rsidRPr="00CA7097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 xml:space="preserve"> </w:t>
            </w:r>
            <w:proofErr w:type="spellStart"/>
            <w:r w:rsidR="00CA7097" w:rsidRPr="00CA7097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>bajos</w:t>
            </w:r>
            <w:proofErr w:type="spellEnd"/>
            <w:r w:rsidRPr="00CA7097">
              <w:rPr>
                <w:rFonts w:ascii="Verdana" w:eastAsia="Times New Roman" w:hAnsi="Verdana"/>
                <w:b/>
                <w:bCs/>
                <w:color w:val="365F91"/>
                <w:sz w:val="16"/>
                <w:szCs w:val="16"/>
              </w:rPr>
              <w:t xml:space="preserve"> </w:t>
            </w:r>
          </w:p>
          <w:p w14:paraId="2227391D" w14:textId="77777777" w:rsidR="00BA6859" w:rsidRPr="008428FD" w:rsidRDefault="00BA6859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30%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55C6E294" w14:textId="36888719" w:rsidR="00BA6859" w:rsidRPr="008428FD" w:rsidRDefault="00F55091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57,900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D3DFEE"/>
            <w:hideMark/>
          </w:tcPr>
          <w:p w14:paraId="49EF27D3" w14:textId="489D3AC7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66,200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76D79E3E" w14:textId="51CE058D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74,450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D3DFEE"/>
            <w:hideMark/>
          </w:tcPr>
          <w:p w14:paraId="48DEB37F" w14:textId="01B53B44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82,700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2298FC76" w14:textId="63174BD9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89,350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D3DFEE"/>
            <w:hideMark/>
          </w:tcPr>
          <w:p w14:paraId="6219EEDE" w14:textId="7B333395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95,950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hideMark/>
          </w:tcPr>
          <w:p w14:paraId="17ED96BD" w14:textId="0891B920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102,550</w:t>
            </w:r>
          </w:p>
        </w:tc>
      </w:tr>
      <w:tr w:rsidR="00DE07C9" w:rsidRPr="008428FD" w14:paraId="2C6FC7F0" w14:textId="77777777" w:rsidTr="006E208F">
        <w:trPr>
          <w:trHeight w:val="9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D4BD" w14:textId="40EAE595" w:rsidR="00BA6859" w:rsidRPr="008428FD" w:rsidRDefault="00CA286A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Muy </w:t>
            </w:r>
            <w:proofErr w:type="spellStart"/>
            <w:r w:rsidR="00F666BA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bajos</w:t>
            </w:r>
            <w:proofErr w:type="spellEnd"/>
            <w:r w:rsidR="00BA6859"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  <w:p w14:paraId="0BCB3021" w14:textId="77777777" w:rsidR="00BA6859" w:rsidRPr="008428FD" w:rsidRDefault="00BA6859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50%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10D2" w14:textId="0EC02691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69,480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0FEC" w14:textId="0C1AEFAC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79,440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9D16" w14:textId="52C6153D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89,340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325B" w14:textId="77C1ECC0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99,240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8CFA" w14:textId="510627CE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107,220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03F9" w14:textId="35491A17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115,140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474A" w14:textId="073C1ACA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123,060</w:t>
            </w:r>
          </w:p>
        </w:tc>
      </w:tr>
      <w:tr w:rsidR="00DE07C9" w:rsidRPr="008428FD" w14:paraId="60FE1687" w14:textId="77777777" w:rsidTr="006E208F">
        <w:trPr>
          <w:trHeight w:val="974"/>
        </w:trPr>
        <w:tc>
          <w:tcPr>
            <w:tcW w:w="1800" w:type="dxa"/>
            <w:tcBorders>
              <w:top w:val="nil"/>
              <w:bottom w:val="single" w:sz="8" w:space="0" w:color="4F81BD"/>
            </w:tcBorders>
            <w:shd w:val="clear" w:color="auto" w:fill="D3DFEE"/>
            <w:hideMark/>
          </w:tcPr>
          <w:p w14:paraId="575604CC" w14:textId="1B998CAF" w:rsidR="00BA6859" w:rsidRPr="008428FD" w:rsidRDefault="00CA286A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Bajos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="00BA6859"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In</w:t>
            </w:r>
            <w:r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gresos</w:t>
            </w:r>
            <w:proofErr w:type="spellEnd"/>
          </w:p>
          <w:p w14:paraId="1A02F24F" w14:textId="77777777" w:rsidR="00BA6859" w:rsidRPr="008428FD" w:rsidRDefault="00BA6859" w:rsidP="008428FD">
            <w:pPr>
              <w:spacing w:after="100" w:afterAutospacing="1" w:line="240" w:lineRule="auto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</w:rPr>
              <w:t>80%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14:paraId="7E167F43" w14:textId="4F69BBCA" w:rsidR="00BA6859" w:rsidRPr="008428FD" w:rsidRDefault="00BA6859" w:rsidP="00886752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92,650</w:t>
            </w:r>
          </w:p>
        </w:tc>
        <w:tc>
          <w:tcPr>
            <w:tcW w:w="1230" w:type="dxa"/>
            <w:tcBorders>
              <w:top w:val="nil"/>
              <w:bottom w:val="single" w:sz="8" w:space="0" w:color="4F81BD"/>
            </w:tcBorders>
            <w:shd w:val="clear" w:color="auto" w:fill="D3DFEE"/>
            <w:hideMark/>
          </w:tcPr>
          <w:p w14:paraId="401D20E1" w14:textId="27484DF1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105,850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14:paraId="3883352D" w14:textId="48260CB6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5F10E8">
              <w:rPr>
                <w:rFonts w:ascii="Verdana" w:eastAsia="Times New Roman" w:hAnsi="Verdana"/>
                <w:color w:val="365F91"/>
                <w:sz w:val="18"/>
                <w:szCs w:val="18"/>
              </w:rPr>
              <w:t>1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19,100</w:t>
            </w:r>
          </w:p>
        </w:tc>
        <w:tc>
          <w:tcPr>
            <w:tcW w:w="1231" w:type="dxa"/>
            <w:tcBorders>
              <w:top w:val="nil"/>
              <w:bottom w:val="single" w:sz="8" w:space="0" w:color="4F81BD"/>
            </w:tcBorders>
            <w:shd w:val="clear" w:color="auto" w:fill="D3DFEE"/>
            <w:hideMark/>
          </w:tcPr>
          <w:p w14:paraId="1C9BC63B" w14:textId="737D47B0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5F10E8">
              <w:rPr>
                <w:rFonts w:ascii="Verdana" w:eastAsia="Times New Roman" w:hAnsi="Verdana"/>
                <w:color w:val="365F91"/>
                <w:sz w:val="18"/>
                <w:szCs w:val="18"/>
              </w:rPr>
              <w:t>1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32,300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14:paraId="1F1098D5" w14:textId="3E9C46E4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5F10E8">
              <w:rPr>
                <w:rFonts w:ascii="Verdana" w:eastAsia="Times New Roman" w:hAnsi="Verdana"/>
                <w:color w:val="365F91"/>
                <w:sz w:val="18"/>
                <w:szCs w:val="18"/>
              </w:rPr>
              <w:t>1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42,900</w:t>
            </w:r>
          </w:p>
        </w:tc>
        <w:tc>
          <w:tcPr>
            <w:tcW w:w="1231" w:type="dxa"/>
            <w:tcBorders>
              <w:top w:val="nil"/>
              <w:bottom w:val="single" w:sz="8" w:space="0" w:color="4F81BD"/>
            </w:tcBorders>
            <w:shd w:val="clear" w:color="auto" w:fill="D3DFEE"/>
            <w:hideMark/>
          </w:tcPr>
          <w:p w14:paraId="5AC3DD39" w14:textId="45416282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5F10E8">
              <w:rPr>
                <w:rFonts w:ascii="Verdana" w:eastAsia="Times New Roman" w:hAnsi="Verdana"/>
                <w:color w:val="365F91"/>
                <w:sz w:val="18"/>
                <w:szCs w:val="18"/>
              </w:rPr>
              <w:t>1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53,500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14:paraId="270AB63D" w14:textId="18D5C9EB" w:rsidR="00BA6859" w:rsidRPr="008428FD" w:rsidRDefault="00BA6859" w:rsidP="00F55091">
            <w:pPr>
              <w:spacing w:after="100" w:afterAutospacing="1" w:line="240" w:lineRule="auto"/>
              <w:rPr>
                <w:rFonts w:ascii="Verdana" w:eastAsia="Times New Roman" w:hAnsi="Verdana"/>
                <w:color w:val="365F91"/>
                <w:sz w:val="18"/>
                <w:szCs w:val="18"/>
              </w:rPr>
            </w:pPr>
            <w:r w:rsidRPr="008428FD">
              <w:rPr>
                <w:rFonts w:ascii="Verdana" w:eastAsia="Times New Roman" w:hAnsi="Verdana"/>
                <w:color w:val="365F91"/>
                <w:sz w:val="18"/>
                <w:szCs w:val="18"/>
              </w:rPr>
              <w:t>$</w:t>
            </w:r>
            <w:r w:rsidR="00226F35">
              <w:rPr>
                <w:rFonts w:ascii="Verdana" w:eastAsia="Times New Roman" w:hAnsi="Verdana"/>
                <w:color w:val="365F91"/>
                <w:sz w:val="18"/>
                <w:szCs w:val="18"/>
              </w:rPr>
              <w:t>1</w:t>
            </w:r>
            <w:r w:rsidR="00DE07C9">
              <w:rPr>
                <w:rFonts w:ascii="Verdana" w:eastAsia="Times New Roman" w:hAnsi="Verdana"/>
                <w:color w:val="365F91"/>
                <w:sz w:val="18"/>
                <w:szCs w:val="18"/>
              </w:rPr>
              <w:t>64,100</w:t>
            </w:r>
          </w:p>
        </w:tc>
      </w:tr>
    </w:tbl>
    <w:p w14:paraId="0EB3271E" w14:textId="49A23A97" w:rsidR="00BA6859" w:rsidRPr="00D147DD" w:rsidRDefault="00F666BA" w:rsidP="00BA6859">
      <w:pPr>
        <w:spacing w:after="100" w:afterAutospacing="1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D147DD">
        <w:rPr>
          <w:rFonts w:ascii="Verdana" w:eastAsia="Times New Roman" w:hAnsi="Verdana"/>
          <w:sz w:val="18"/>
          <w:szCs w:val="18"/>
          <w:lang w:val="es-MX"/>
        </w:rPr>
        <w:t>Fuente</w:t>
      </w:r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:  </w:t>
      </w:r>
      <w:r w:rsidR="00D147DD" w:rsidRPr="00D147DD">
        <w:rPr>
          <w:rFonts w:ascii="Verdana" w:eastAsia="Times New Roman" w:hAnsi="Verdana"/>
          <w:sz w:val="18"/>
          <w:szCs w:val="18"/>
          <w:lang w:val="es-MX"/>
        </w:rPr>
        <w:t>Documentación de</w:t>
      </w:r>
      <w:r w:rsidR="00D147DD">
        <w:rPr>
          <w:rFonts w:ascii="Verdana" w:eastAsia="Times New Roman" w:hAnsi="Verdana"/>
          <w:sz w:val="18"/>
          <w:szCs w:val="18"/>
          <w:lang w:val="es-MX"/>
        </w:rPr>
        <w:t xml:space="preserve"> Limites de Ingresos Año Fiscal 202</w:t>
      </w:r>
      <w:r w:rsidR="00593327">
        <w:rPr>
          <w:rFonts w:ascii="Verdana" w:eastAsia="Times New Roman" w:hAnsi="Verdana"/>
          <w:sz w:val="18"/>
          <w:szCs w:val="18"/>
          <w:lang w:val="es-MX"/>
        </w:rPr>
        <w:t>5</w:t>
      </w:r>
      <w:r w:rsidR="00D147DD">
        <w:rPr>
          <w:rFonts w:ascii="Verdana" w:eastAsia="Times New Roman" w:hAnsi="Verdana"/>
          <w:sz w:val="18"/>
          <w:szCs w:val="18"/>
          <w:lang w:val="es-MX"/>
        </w:rPr>
        <w:t xml:space="preserve"> Departamento de </w:t>
      </w:r>
      <w:r w:rsidR="00B17A55">
        <w:rPr>
          <w:rFonts w:ascii="Verdana" w:eastAsia="Times New Roman" w:hAnsi="Verdana"/>
          <w:sz w:val="18"/>
          <w:szCs w:val="18"/>
          <w:lang w:val="es-MX"/>
        </w:rPr>
        <w:t xml:space="preserve">Vivienda y Desarrollo </w:t>
      </w:r>
      <w:r w:rsidR="00370A17">
        <w:rPr>
          <w:rFonts w:ascii="Verdana" w:eastAsia="Times New Roman" w:hAnsi="Verdana"/>
          <w:sz w:val="18"/>
          <w:szCs w:val="18"/>
          <w:lang w:val="es-MX"/>
        </w:rPr>
        <w:t>Urbano</w:t>
      </w:r>
      <w:r w:rsidR="00B17A55">
        <w:rPr>
          <w:rFonts w:ascii="Verdana" w:eastAsia="Times New Roman" w:hAnsi="Verdana"/>
          <w:sz w:val="18"/>
          <w:szCs w:val="18"/>
          <w:lang w:val="es-MX"/>
        </w:rPr>
        <w:t xml:space="preserve"> de Estados Unidos </w:t>
      </w:r>
      <w:r w:rsidR="00D147DD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>(</w:t>
      </w:r>
      <w:r w:rsidR="0008434F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HUD </w:t>
      </w:r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>FY20</w:t>
      </w:r>
      <w:r w:rsidR="005F10E8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>2</w:t>
      </w:r>
      <w:r w:rsidR="00DE07C9">
        <w:rPr>
          <w:rFonts w:ascii="Verdana" w:eastAsia="Times New Roman" w:hAnsi="Verdana"/>
          <w:i/>
          <w:iCs/>
          <w:sz w:val="18"/>
          <w:szCs w:val="18"/>
          <w:lang w:val="es-MX"/>
        </w:rPr>
        <w:t>5</w:t>
      </w:r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 </w:t>
      </w:r>
      <w:proofErr w:type="spellStart"/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>Income</w:t>
      </w:r>
      <w:proofErr w:type="spellEnd"/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 </w:t>
      </w:r>
      <w:proofErr w:type="spellStart"/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>Limits</w:t>
      </w:r>
      <w:proofErr w:type="spellEnd"/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 </w:t>
      </w:r>
      <w:proofErr w:type="spellStart"/>
      <w:r w:rsidR="00BA6859" w:rsidRPr="00D147DD">
        <w:rPr>
          <w:rFonts w:ascii="Verdana" w:eastAsia="Times New Roman" w:hAnsi="Verdana"/>
          <w:i/>
          <w:iCs/>
          <w:sz w:val="18"/>
          <w:szCs w:val="18"/>
          <w:lang w:val="es-MX"/>
        </w:rPr>
        <w:t>Documentation</w:t>
      </w:r>
      <w:proofErr w:type="spellEnd"/>
      <w:r w:rsidR="00D147DD" w:rsidRPr="00D147DD">
        <w:rPr>
          <w:rFonts w:ascii="Verdana" w:eastAsia="Times New Roman" w:hAnsi="Verdana"/>
          <w:sz w:val="18"/>
          <w:szCs w:val="18"/>
          <w:lang w:val="es-MX"/>
        </w:rPr>
        <w:t>)</w:t>
      </w:r>
    </w:p>
    <w:p w14:paraId="2D551506" w14:textId="0C7C7EBE" w:rsidR="00604F01" w:rsidRPr="002E0609" w:rsidRDefault="00182776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604F01">
        <w:rPr>
          <w:rFonts w:ascii="Verdana" w:eastAsia="Times New Roman" w:hAnsi="Verdana"/>
          <w:sz w:val="18"/>
          <w:szCs w:val="18"/>
          <w:lang w:val="es-MX"/>
        </w:rPr>
        <w:t>El Programa</w:t>
      </w:r>
      <w:r w:rsidR="005912BC" w:rsidRPr="00604F01">
        <w:rPr>
          <w:rFonts w:ascii="Verdana" w:eastAsia="Times New Roman" w:hAnsi="Verdana"/>
          <w:sz w:val="18"/>
          <w:szCs w:val="18"/>
          <w:lang w:val="es-MX"/>
        </w:rPr>
        <w:t xml:space="preserve"> de V</w:t>
      </w:r>
      <w:r w:rsidR="00315970" w:rsidRPr="00604F01">
        <w:rPr>
          <w:rFonts w:ascii="Verdana" w:eastAsia="Times New Roman" w:hAnsi="Verdana"/>
          <w:sz w:val="18"/>
          <w:szCs w:val="18"/>
          <w:lang w:val="es-MX"/>
        </w:rPr>
        <w:t>ivienda y Rehabilitación Urgente de la Ciudad de Everett está administrado por el Depar</w:t>
      </w:r>
      <w:r w:rsidR="00954CF8" w:rsidRPr="00604F01">
        <w:rPr>
          <w:rFonts w:ascii="Verdana" w:eastAsia="Times New Roman" w:hAnsi="Verdana"/>
          <w:sz w:val="18"/>
          <w:szCs w:val="18"/>
          <w:lang w:val="es-MX"/>
        </w:rPr>
        <w:t xml:space="preserve">tamento de Planificación Y Desarrollo de la Ciudad con fondos del </w:t>
      </w:r>
      <w:r w:rsidR="003946F1" w:rsidRPr="00604F01">
        <w:rPr>
          <w:rFonts w:ascii="Verdana" w:eastAsia="Times New Roman" w:hAnsi="Verdana"/>
          <w:sz w:val="18"/>
          <w:szCs w:val="18"/>
          <w:lang w:val="es-MX"/>
        </w:rPr>
        <w:t xml:space="preserve">Departamento </w:t>
      </w:r>
      <w:r w:rsidR="005C4CD5" w:rsidRPr="00604F01">
        <w:rPr>
          <w:rFonts w:ascii="Verdana" w:eastAsia="Times New Roman" w:hAnsi="Verdana"/>
          <w:sz w:val="18"/>
          <w:szCs w:val="18"/>
          <w:lang w:val="es-MX"/>
        </w:rPr>
        <w:t>de Vivienda y</w:t>
      </w:r>
      <w:r w:rsidR="003946F1" w:rsidRPr="00604F01">
        <w:rPr>
          <w:rFonts w:ascii="Verdana" w:eastAsia="Times New Roman" w:hAnsi="Verdana"/>
          <w:sz w:val="18"/>
          <w:szCs w:val="18"/>
          <w:lang w:val="es-MX"/>
        </w:rPr>
        <w:t xml:space="preserve"> Desarrollo </w:t>
      </w:r>
      <w:r w:rsidR="005C4CD5" w:rsidRPr="00604F01">
        <w:rPr>
          <w:rFonts w:ascii="Verdana" w:eastAsia="Times New Roman" w:hAnsi="Verdana"/>
          <w:sz w:val="18"/>
          <w:szCs w:val="18"/>
          <w:lang w:val="es-MX"/>
        </w:rPr>
        <w:t xml:space="preserve">Comunitario de Massachusetts por medio del </w:t>
      </w:r>
      <w:r w:rsidR="002E0609" w:rsidRPr="00604F01">
        <w:rPr>
          <w:rFonts w:ascii="Verdana" w:hAnsi="Verdana"/>
          <w:sz w:val="18"/>
          <w:szCs w:val="18"/>
          <w:lang w:val="es-MX"/>
        </w:rPr>
        <w:t xml:space="preserve">Programa de Subvenciones en Bloque para </w:t>
      </w:r>
      <w:r w:rsidR="009D3E75">
        <w:rPr>
          <w:rFonts w:ascii="Verdana" w:hAnsi="Verdana"/>
          <w:sz w:val="18"/>
          <w:szCs w:val="18"/>
          <w:lang w:val="es-MX"/>
        </w:rPr>
        <w:t xml:space="preserve">el Desarrollo </w:t>
      </w:r>
      <w:r w:rsidR="004867EC">
        <w:rPr>
          <w:rFonts w:ascii="Verdana" w:hAnsi="Verdana"/>
          <w:sz w:val="18"/>
          <w:szCs w:val="18"/>
          <w:lang w:val="es-MX"/>
        </w:rPr>
        <w:t xml:space="preserve">Comunitario </w:t>
      </w:r>
      <w:r w:rsidR="00AD47AD" w:rsidRPr="00604F01">
        <w:rPr>
          <w:rFonts w:ascii="Verdana" w:hAnsi="Verdana"/>
          <w:sz w:val="18"/>
          <w:szCs w:val="18"/>
          <w:lang w:val="es-MX"/>
        </w:rPr>
        <w:t xml:space="preserve">según lo dispone el Título 1 de </w:t>
      </w:r>
      <w:r w:rsidR="007127EA" w:rsidRPr="00604F01">
        <w:rPr>
          <w:rFonts w:ascii="Verdana" w:hAnsi="Verdana"/>
          <w:sz w:val="18"/>
          <w:szCs w:val="18"/>
          <w:lang w:val="es-MX"/>
        </w:rPr>
        <w:t xml:space="preserve">la Ley de Vivienda y </w:t>
      </w:r>
      <w:r w:rsidR="00604F01" w:rsidRPr="00604F01">
        <w:rPr>
          <w:rFonts w:ascii="Verdana" w:hAnsi="Verdana"/>
          <w:sz w:val="18"/>
          <w:szCs w:val="18"/>
          <w:lang w:val="es-MX"/>
        </w:rPr>
        <w:t>Comunidad</w:t>
      </w:r>
      <w:r w:rsidR="007127EA" w:rsidRPr="00604F01">
        <w:rPr>
          <w:rFonts w:ascii="Verdana" w:hAnsi="Verdana"/>
          <w:sz w:val="18"/>
          <w:szCs w:val="18"/>
          <w:lang w:val="es-MX"/>
        </w:rPr>
        <w:t xml:space="preserve"> de 1974</w:t>
      </w:r>
      <w:r w:rsidR="008B5EE7" w:rsidRPr="002E0609">
        <w:rPr>
          <w:rFonts w:ascii="Verdana" w:eastAsia="Times New Roman" w:hAnsi="Verdana"/>
          <w:sz w:val="18"/>
          <w:szCs w:val="18"/>
          <w:lang w:val="es-MX"/>
        </w:rPr>
        <w:t xml:space="preserve">. </w:t>
      </w:r>
      <w:r w:rsidR="008428FD" w:rsidRPr="002E0609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6440E8CC" w14:textId="77777777" w:rsidR="008428FD" w:rsidRPr="002E0609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292FC0C3" w14:textId="1FA49328" w:rsidR="008428FD" w:rsidRPr="00DE6D18" w:rsidRDefault="00DE6D18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DE6D18">
        <w:rPr>
          <w:rFonts w:ascii="Verdana" w:eastAsia="Times New Roman" w:hAnsi="Verdana"/>
          <w:sz w:val="18"/>
          <w:szCs w:val="18"/>
          <w:lang w:val="es-MX"/>
        </w:rPr>
        <w:t xml:space="preserve">El Programa de Viviendas y Rehabilitación Urgentes tiene los </w:t>
      </w:r>
      <w:r>
        <w:rPr>
          <w:rFonts w:ascii="Verdana" w:eastAsia="Times New Roman" w:hAnsi="Verdana"/>
          <w:sz w:val="18"/>
          <w:szCs w:val="18"/>
          <w:lang w:val="es-MX"/>
        </w:rPr>
        <w:t>siguientes objetivos</w:t>
      </w:r>
      <w:r w:rsidR="002F09AF">
        <w:rPr>
          <w:rFonts w:ascii="Verdana" w:eastAsia="Times New Roman" w:hAnsi="Verdana"/>
          <w:sz w:val="18"/>
          <w:szCs w:val="18"/>
          <w:lang w:val="es-MX"/>
        </w:rPr>
        <w:t>:</w:t>
      </w:r>
      <w:r w:rsidR="007458ED" w:rsidRPr="00DE6D18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2802CCD6" w14:textId="77777777" w:rsidR="00273B03" w:rsidRPr="00DE6D18" w:rsidRDefault="00273B03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0E78F8F9" w14:textId="395B3458" w:rsidR="00230443" w:rsidRPr="00C03C57" w:rsidRDefault="002F09AF" w:rsidP="00273B03">
      <w:pPr>
        <w:numPr>
          <w:ilvl w:val="0"/>
          <w:numId w:val="8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C03C57">
        <w:rPr>
          <w:rFonts w:ascii="Verdana" w:eastAsia="Times New Roman" w:hAnsi="Verdana"/>
          <w:sz w:val="18"/>
          <w:szCs w:val="18"/>
          <w:lang w:val="es-MX"/>
        </w:rPr>
        <w:t>Mej</w:t>
      </w:r>
      <w:r w:rsidR="006A3FCD" w:rsidRPr="00C03C57">
        <w:rPr>
          <w:rFonts w:ascii="Verdana" w:eastAsia="Times New Roman" w:hAnsi="Verdana"/>
          <w:sz w:val="18"/>
          <w:szCs w:val="18"/>
          <w:lang w:val="es-MX"/>
        </w:rPr>
        <w:t>o</w:t>
      </w:r>
      <w:r w:rsidRPr="00C03C57">
        <w:rPr>
          <w:rFonts w:ascii="Verdana" w:eastAsia="Times New Roman" w:hAnsi="Verdana"/>
          <w:sz w:val="18"/>
          <w:szCs w:val="18"/>
          <w:lang w:val="es-MX"/>
        </w:rPr>
        <w:t xml:space="preserve">rar las condiciones de </w:t>
      </w:r>
      <w:r w:rsidR="00FC64E9" w:rsidRPr="00C03C57">
        <w:rPr>
          <w:rFonts w:ascii="Verdana" w:eastAsia="Times New Roman" w:hAnsi="Verdana"/>
          <w:sz w:val="18"/>
          <w:szCs w:val="18"/>
          <w:lang w:val="es-MX"/>
        </w:rPr>
        <w:t>las viviendas</w:t>
      </w:r>
      <w:r w:rsidR="00C03C57" w:rsidRPr="00C03C57">
        <w:rPr>
          <w:rFonts w:ascii="Verdana" w:eastAsia="Times New Roman" w:hAnsi="Verdana"/>
          <w:sz w:val="18"/>
          <w:szCs w:val="18"/>
          <w:lang w:val="es-MX"/>
        </w:rPr>
        <w:t xml:space="preserve"> de </w:t>
      </w:r>
      <w:r w:rsidR="00EA7C79">
        <w:rPr>
          <w:rFonts w:ascii="Verdana" w:eastAsia="Times New Roman" w:hAnsi="Verdana"/>
          <w:sz w:val="18"/>
          <w:szCs w:val="18"/>
          <w:lang w:val="es-MX"/>
        </w:rPr>
        <w:t>las personas</w:t>
      </w:r>
      <w:r w:rsidR="00C03C57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EA7C79">
        <w:rPr>
          <w:rFonts w:ascii="Verdana" w:eastAsia="Times New Roman" w:hAnsi="Verdana"/>
          <w:sz w:val="18"/>
          <w:szCs w:val="18"/>
          <w:lang w:val="es-MX"/>
        </w:rPr>
        <w:t>de</w:t>
      </w:r>
      <w:r w:rsidR="00C03C57">
        <w:rPr>
          <w:rFonts w:ascii="Verdana" w:eastAsia="Times New Roman" w:hAnsi="Verdana"/>
          <w:sz w:val="18"/>
          <w:szCs w:val="18"/>
          <w:lang w:val="es-MX"/>
        </w:rPr>
        <w:t xml:space="preserve"> recursos bajos </w:t>
      </w:r>
      <w:r w:rsidR="008222CE">
        <w:rPr>
          <w:rFonts w:ascii="Verdana" w:eastAsia="Times New Roman" w:hAnsi="Verdana"/>
          <w:sz w:val="18"/>
          <w:szCs w:val="18"/>
          <w:lang w:val="es-MX"/>
        </w:rPr>
        <w:t xml:space="preserve">o </w:t>
      </w:r>
      <w:r w:rsidR="00C03C57">
        <w:rPr>
          <w:rFonts w:ascii="Verdana" w:eastAsia="Times New Roman" w:hAnsi="Verdana"/>
          <w:sz w:val="18"/>
          <w:szCs w:val="18"/>
          <w:lang w:val="es-MX"/>
        </w:rPr>
        <w:t>moderados</w:t>
      </w:r>
      <w:r w:rsidR="006A3FCD" w:rsidRPr="00C03C57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51F42A05" w14:textId="1AB51EB2" w:rsidR="007F43EC" w:rsidRPr="00EA7C79" w:rsidRDefault="00DC2B8B" w:rsidP="00273B03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DC2B8B">
        <w:rPr>
          <w:rFonts w:ascii="Verdana" w:eastAsia="Times New Roman" w:hAnsi="Verdana"/>
          <w:sz w:val="18"/>
          <w:szCs w:val="18"/>
          <w:lang w:val="es-MX"/>
        </w:rPr>
        <w:t xml:space="preserve">Velar por la salud y la seguridad de las </w:t>
      </w:r>
      <w:r>
        <w:rPr>
          <w:rFonts w:ascii="Verdana" w:eastAsia="Times New Roman" w:hAnsi="Verdana"/>
          <w:sz w:val="18"/>
          <w:szCs w:val="18"/>
          <w:lang w:val="es-MX"/>
        </w:rPr>
        <w:t>personas en la</w:t>
      </w:r>
      <w:r w:rsidR="00EA7C79">
        <w:rPr>
          <w:rFonts w:ascii="Verdana" w:eastAsia="Times New Roman" w:hAnsi="Verdana"/>
          <w:sz w:val="18"/>
          <w:szCs w:val="18"/>
          <w:lang w:val="es-MX"/>
        </w:rPr>
        <w:t>s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viviendas.  </w:t>
      </w:r>
    </w:p>
    <w:p w14:paraId="1EFCD92F" w14:textId="77777777" w:rsidR="008428FD" w:rsidRPr="00EA7C79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2BF619B6" w14:textId="1B4A4AF7" w:rsidR="002D19D0" w:rsidRDefault="00EA7C79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A344B6">
        <w:rPr>
          <w:rFonts w:ascii="Verdana" w:eastAsia="Times New Roman" w:hAnsi="Verdana"/>
          <w:sz w:val="18"/>
          <w:szCs w:val="18"/>
          <w:lang w:val="es-MX"/>
        </w:rPr>
        <w:t xml:space="preserve">Se les dará preferencia a los proyectos que se encuentren en violación </w:t>
      </w:r>
      <w:r w:rsidR="00A344B6" w:rsidRPr="00A344B6">
        <w:rPr>
          <w:rFonts w:ascii="Verdana" w:eastAsia="Times New Roman" w:hAnsi="Verdana"/>
          <w:sz w:val="18"/>
          <w:szCs w:val="18"/>
          <w:lang w:val="es-MX"/>
        </w:rPr>
        <w:t>d</w:t>
      </w:r>
      <w:r w:rsidR="00A344B6">
        <w:rPr>
          <w:rFonts w:ascii="Verdana" w:eastAsia="Times New Roman" w:hAnsi="Verdana"/>
          <w:sz w:val="18"/>
          <w:szCs w:val="18"/>
          <w:lang w:val="es-MX"/>
        </w:rPr>
        <w:t>el Código</w:t>
      </w:r>
      <w:r w:rsidR="00E2516A">
        <w:rPr>
          <w:rFonts w:ascii="Verdana" w:eastAsia="Times New Roman" w:hAnsi="Verdana"/>
          <w:sz w:val="18"/>
          <w:szCs w:val="18"/>
          <w:lang w:val="es-MX"/>
        </w:rPr>
        <w:t xml:space="preserve"> Estatal</w:t>
      </w:r>
      <w:r w:rsidR="00A344B6">
        <w:rPr>
          <w:rFonts w:ascii="Verdana" w:eastAsia="Times New Roman" w:hAnsi="Verdana"/>
          <w:sz w:val="18"/>
          <w:szCs w:val="18"/>
          <w:lang w:val="es-MX"/>
        </w:rPr>
        <w:t xml:space="preserve"> de</w:t>
      </w:r>
      <w:r w:rsidR="00E2516A">
        <w:rPr>
          <w:rFonts w:ascii="Verdana" w:eastAsia="Times New Roman" w:hAnsi="Verdana"/>
          <w:sz w:val="18"/>
          <w:szCs w:val="18"/>
          <w:lang w:val="es-MX"/>
        </w:rPr>
        <w:t xml:space="preserve"> Construcción y Sanidad</w:t>
      </w:r>
      <w:r w:rsidR="005977CB">
        <w:rPr>
          <w:rFonts w:ascii="Verdana" w:eastAsia="Times New Roman" w:hAnsi="Verdana"/>
          <w:sz w:val="18"/>
          <w:szCs w:val="18"/>
          <w:lang w:val="es-MX"/>
        </w:rPr>
        <w:t>,</w:t>
      </w:r>
      <w:r w:rsidR="00E2516A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D307B1">
        <w:rPr>
          <w:rFonts w:ascii="Verdana" w:eastAsia="Times New Roman" w:hAnsi="Verdana"/>
          <w:sz w:val="18"/>
          <w:szCs w:val="18"/>
          <w:lang w:val="es-MX"/>
        </w:rPr>
        <w:t>necesitan</w:t>
      </w:r>
      <w:r w:rsidR="00E2516A">
        <w:rPr>
          <w:rFonts w:ascii="Verdana" w:eastAsia="Times New Roman" w:hAnsi="Verdana"/>
          <w:sz w:val="18"/>
          <w:szCs w:val="18"/>
          <w:lang w:val="es-MX"/>
        </w:rPr>
        <w:t xml:space="preserve"> estar en cumplimiento</w:t>
      </w:r>
      <w:r w:rsidR="00D307B1">
        <w:rPr>
          <w:rFonts w:ascii="Verdana" w:eastAsia="Times New Roman" w:hAnsi="Verdana"/>
          <w:sz w:val="18"/>
          <w:szCs w:val="18"/>
          <w:lang w:val="es-MX"/>
        </w:rPr>
        <w:t xml:space="preserve"> con la Ley para los </w:t>
      </w:r>
      <w:proofErr w:type="gramStart"/>
      <w:r w:rsidR="003864F6">
        <w:rPr>
          <w:rFonts w:ascii="Verdana" w:eastAsia="Times New Roman" w:hAnsi="Verdana"/>
          <w:sz w:val="18"/>
          <w:szCs w:val="18"/>
          <w:lang w:val="es-MX"/>
        </w:rPr>
        <w:t>Americanos</w:t>
      </w:r>
      <w:proofErr w:type="gramEnd"/>
      <w:r w:rsidR="00D307B1">
        <w:rPr>
          <w:rFonts w:ascii="Verdana" w:eastAsia="Times New Roman" w:hAnsi="Verdana"/>
          <w:sz w:val="18"/>
          <w:szCs w:val="18"/>
          <w:lang w:val="es-MX"/>
        </w:rPr>
        <w:t xml:space="preserve"> con Discapacidades o </w:t>
      </w:r>
      <w:r w:rsidR="00B27727">
        <w:rPr>
          <w:rFonts w:ascii="Verdana" w:eastAsia="Times New Roman" w:hAnsi="Verdana"/>
          <w:sz w:val="18"/>
          <w:szCs w:val="18"/>
          <w:lang w:val="es-MX"/>
        </w:rPr>
        <w:t xml:space="preserve">que necesitan reducir la </w:t>
      </w:r>
      <w:r w:rsidR="00127A0E">
        <w:rPr>
          <w:rFonts w:ascii="Verdana" w:eastAsia="Times New Roman" w:hAnsi="Verdana"/>
          <w:sz w:val="18"/>
          <w:szCs w:val="18"/>
          <w:lang w:val="es-MX"/>
        </w:rPr>
        <w:t xml:space="preserve">pintura con plomo y eliminar el amianto.  </w:t>
      </w:r>
      <w:r w:rsidR="00127A0E" w:rsidRPr="007317E2">
        <w:rPr>
          <w:rFonts w:ascii="Verdana" w:eastAsia="Times New Roman" w:hAnsi="Verdana"/>
          <w:sz w:val="18"/>
          <w:szCs w:val="18"/>
          <w:lang w:val="es-MX"/>
        </w:rPr>
        <w:t xml:space="preserve">Todas las solicitudes </w:t>
      </w:r>
      <w:r w:rsidR="00F812B5" w:rsidRPr="007317E2">
        <w:rPr>
          <w:rFonts w:ascii="Verdana" w:eastAsia="Times New Roman" w:hAnsi="Verdana"/>
          <w:sz w:val="18"/>
          <w:szCs w:val="18"/>
          <w:lang w:val="es-MX"/>
        </w:rPr>
        <w:t xml:space="preserve">de ayuda urgente serán inspeccionadas </w:t>
      </w:r>
      <w:r w:rsidR="007317E2" w:rsidRPr="007317E2">
        <w:rPr>
          <w:rFonts w:ascii="Verdana" w:eastAsia="Times New Roman" w:hAnsi="Verdana"/>
          <w:sz w:val="18"/>
          <w:szCs w:val="18"/>
          <w:lang w:val="es-MX"/>
        </w:rPr>
        <w:t>en u</w:t>
      </w:r>
      <w:r w:rsidR="007317E2">
        <w:rPr>
          <w:rFonts w:ascii="Verdana" w:eastAsia="Times New Roman" w:hAnsi="Verdana"/>
          <w:sz w:val="18"/>
          <w:szCs w:val="18"/>
          <w:lang w:val="es-MX"/>
        </w:rPr>
        <w:t xml:space="preserve">n plazo de 24 horas a partir de su recepción por el </w:t>
      </w:r>
      <w:r w:rsidR="00644BD4">
        <w:rPr>
          <w:rFonts w:ascii="Verdana" w:eastAsia="Times New Roman" w:hAnsi="Verdana"/>
          <w:sz w:val="18"/>
          <w:szCs w:val="18"/>
          <w:lang w:val="es-MX"/>
        </w:rPr>
        <w:t>Especialista</w:t>
      </w:r>
      <w:r w:rsidR="007317E2">
        <w:rPr>
          <w:rFonts w:ascii="Verdana" w:eastAsia="Times New Roman" w:hAnsi="Verdana"/>
          <w:sz w:val="18"/>
          <w:szCs w:val="18"/>
          <w:lang w:val="es-MX"/>
        </w:rPr>
        <w:t xml:space="preserve"> de Viviendas con consultoría del personal d</w:t>
      </w:r>
      <w:r w:rsidR="00F61E30">
        <w:rPr>
          <w:rFonts w:ascii="Verdana" w:eastAsia="Times New Roman" w:hAnsi="Verdana"/>
          <w:sz w:val="18"/>
          <w:szCs w:val="18"/>
          <w:lang w:val="es-MX"/>
        </w:rPr>
        <w:t xml:space="preserve">e los </w:t>
      </w:r>
      <w:r w:rsidR="007317E2">
        <w:rPr>
          <w:rFonts w:ascii="Verdana" w:eastAsia="Times New Roman" w:hAnsi="Verdana"/>
          <w:sz w:val="18"/>
          <w:szCs w:val="18"/>
          <w:lang w:val="es-MX"/>
        </w:rPr>
        <w:t>Servicio</w:t>
      </w:r>
      <w:r w:rsidR="00C37EE1">
        <w:rPr>
          <w:rFonts w:ascii="Verdana" w:eastAsia="Times New Roman" w:hAnsi="Verdana"/>
          <w:sz w:val="18"/>
          <w:szCs w:val="18"/>
          <w:lang w:val="es-MX"/>
        </w:rPr>
        <w:t>s</w:t>
      </w:r>
      <w:r w:rsidR="007317E2">
        <w:rPr>
          <w:rFonts w:ascii="Verdana" w:eastAsia="Times New Roman" w:hAnsi="Verdana"/>
          <w:sz w:val="18"/>
          <w:szCs w:val="18"/>
          <w:lang w:val="es-MX"/>
        </w:rPr>
        <w:t xml:space="preserve"> de Con</w:t>
      </w:r>
      <w:r w:rsidR="000D1135">
        <w:rPr>
          <w:rFonts w:ascii="Verdana" w:eastAsia="Times New Roman" w:hAnsi="Verdana"/>
          <w:sz w:val="18"/>
          <w:szCs w:val="18"/>
          <w:lang w:val="es-MX"/>
        </w:rPr>
        <w:t xml:space="preserve">strucción e </w:t>
      </w:r>
      <w:r w:rsidR="00F61E30">
        <w:rPr>
          <w:rFonts w:ascii="Verdana" w:eastAsia="Times New Roman" w:hAnsi="Verdana"/>
          <w:sz w:val="18"/>
          <w:szCs w:val="18"/>
          <w:lang w:val="es-MX"/>
        </w:rPr>
        <w:t>Inspección</w:t>
      </w:r>
      <w:r w:rsidR="00C37EE1">
        <w:rPr>
          <w:rFonts w:ascii="Verdana" w:eastAsia="Times New Roman" w:hAnsi="Verdana"/>
          <w:sz w:val="18"/>
          <w:szCs w:val="18"/>
          <w:lang w:val="es-MX"/>
        </w:rPr>
        <w:t>.</w:t>
      </w:r>
      <w:r w:rsidR="005E53BD">
        <w:rPr>
          <w:rFonts w:ascii="Verdana" w:eastAsia="Times New Roman" w:hAnsi="Verdana"/>
          <w:sz w:val="18"/>
          <w:szCs w:val="18"/>
          <w:lang w:val="es-MX"/>
        </w:rPr>
        <w:t xml:space="preserve">  </w:t>
      </w:r>
      <w:r w:rsidR="00984B19">
        <w:rPr>
          <w:rFonts w:ascii="Verdana" w:eastAsia="Times New Roman" w:hAnsi="Verdana"/>
          <w:sz w:val="18"/>
          <w:szCs w:val="18"/>
          <w:lang w:val="es-MX"/>
        </w:rPr>
        <w:t>Para rehabilitaciones urgentes, el</w:t>
      </w:r>
      <w:r w:rsidR="005E53BD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proofErr w:type="gramStart"/>
      <w:r w:rsidR="005E53BD">
        <w:rPr>
          <w:rFonts w:ascii="Verdana" w:eastAsia="Times New Roman" w:hAnsi="Verdana"/>
          <w:sz w:val="18"/>
          <w:szCs w:val="18"/>
          <w:lang w:val="es-MX"/>
        </w:rPr>
        <w:t>Director</w:t>
      </w:r>
      <w:proofErr w:type="gramEnd"/>
      <w:r w:rsidR="005E53BD">
        <w:rPr>
          <w:rFonts w:ascii="Verdana" w:eastAsia="Times New Roman" w:hAnsi="Verdana"/>
          <w:sz w:val="18"/>
          <w:szCs w:val="18"/>
          <w:lang w:val="es-MX"/>
        </w:rPr>
        <w:t xml:space="preserve"> del Departamento de Planificación y Desarrollo otorgará la</w:t>
      </w:r>
      <w:r w:rsidR="00702409">
        <w:rPr>
          <w:rFonts w:ascii="Verdana" w:eastAsia="Times New Roman" w:hAnsi="Verdana"/>
          <w:sz w:val="18"/>
          <w:szCs w:val="18"/>
          <w:lang w:val="es-MX"/>
        </w:rPr>
        <w:t xml:space="preserve"> última</w:t>
      </w:r>
      <w:r w:rsidR="005E53BD">
        <w:rPr>
          <w:rFonts w:ascii="Verdana" w:eastAsia="Times New Roman" w:hAnsi="Verdana"/>
          <w:sz w:val="18"/>
          <w:szCs w:val="18"/>
          <w:lang w:val="es-MX"/>
        </w:rPr>
        <w:t xml:space="preserve"> aprobación</w:t>
      </w:r>
      <w:r w:rsidR="003253FD">
        <w:rPr>
          <w:rFonts w:ascii="Verdana" w:eastAsia="Times New Roman" w:hAnsi="Verdana"/>
          <w:sz w:val="18"/>
          <w:szCs w:val="18"/>
          <w:lang w:val="es-MX"/>
        </w:rPr>
        <w:t xml:space="preserve">.  </w:t>
      </w:r>
    </w:p>
    <w:p w14:paraId="6073FDF7" w14:textId="48975AB3" w:rsidR="00C37EE1" w:rsidRDefault="00C37EE1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4BCC6563" w14:textId="77777777" w:rsidR="008428FD" w:rsidRPr="00644BD4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7B5A6F30" w14:textId="6919B529" w:rsidR="001B2AAC" w:rsidRPr="00644BD4" w:rsidRDefault="0029499E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>
        <w:rPr>
          <w:rFonts w:ascii="Verdana" w:eastAsia="Times New Roman" w:hAnsi="Verdana"/>
          <w:sz w:val="18"/>
          <w:szCs w:val="18"/>
          <w:lang w:val="es-MX"/>
        </w:rPr>
        <w:t>L</w:t>
      </w:r>
      <w:r w:rsidR="003253FD" w:rsidRPr="00C5523A">
        <w:rPr>
          <w:rFonts w:ascii="Verdana" w:eastAsia="Times New Roman" w:hAnsi="Verdana"/>
          <w:sz w:val="18"/>
          <w:szCs w:val="18"/>
          <w:lang w:val="es-MX"/>
        </w:rPr>
        <w:t>as actividades de reparación</w:t>
      </w:r>
      <w:r w:rsidR="00100834" w:rsidRPr="00C5523A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3253FD" w:rsidRPr="00C5523A">
        <w:rPr>
          <w:rFonts w:ascii="Verdana" w:eastAsia="Times New Roman" w:hAnsi="Verdana"/>
          <w:sz w:val="18"/>
          <w:szCs w:val="18"/>
          <w:lang w:val="es-MX"/>
        </w:rPr>
        <w:t>incluye</w:t>
      </w:r>
      <w:r w:rsidR="00100834" w:rsidRPr="00C5523A">
        <w:rPr>
          <w:rFonts w:ascii="Verdana" w:eastAsia="Times New Roman" w:hAnsi="Verdana"/>
          <w:sz w:val="18"/>
          <w:szCs w:val="18"/>
          <w:lang w:val="es-MX"/>
        </w:rPr>
        <w:t>n,</w:t>
      </w:r>
      <w:r w:rsidR="00F4093D" w:rsidRPr="00C5523A">
        <w:rPr>
          <w:rFonts w:ascii="Verdana" w:eastAsia="Times New Roman" w:hAnsi="Verdana"/>
          <w:sz w:val="18"/>
          <w:szCs w:val="18"/>
          <w:lang w:val="es-MX"/>
        </w:rPr>
        <w:t xml:space="preserve"> sin carácter exhaustivo,</w:t>
      </w:r>
      <w:r w:rsidR="00100834" w:rsidRPr="00C5523A">
        <w:rPr>
          <w:rFonts w:ascii="Verdana" w:eastAsia="Times New Roman" w:hAnsi="Verdana"/>
          <w:sz w:val="18"/>
          <w:szCs w:val="18"/>
          <w:lang w:val="es-MX"/>
        </w:rPr>
        <w:t xml:space="preserve"> reparaciones de electricidad, </w:t>
      </w:r>
      <w:r w:rsidR="00AB5FFC" w:rsidRPr="00C5523A">
        <w:rPr>
          <w:rFonts w:ascii="Verdana" w:eastAsia="Times New Roman" w:hAnsi="Verdana"/>
          <w:sz w:val="18"/>
          <w:szCs w:val="18"/>
          <w:lang w:val="es-MX"/>
        </w:rPr>
        <w:t>fontanería</w:t>
      </w:r>
      <w:r w:rsidR="00100834" w:rsidRPr="00C5523A">
        <w:rPr>
          <w:rFonts w:ascii="Verdana" w:eastAsia="Times New Roman" w:hAnsi="Verdana"/>
          <w:sz w:val="18"/>
          <w:szCs w:val="18"/>
          <w:lang w:val="es-MX"/>
        </w:rPr>
        <w:t xml:space="preserve">, estructurales, </w:t>
      </w:r>
      <w:r w:rsidR="005A2B61">
        <w:rPr>
          <w:rFonts w:ascii="Verdana" w:eastAsia="Times New Roman" w:hAnsi="Verdana"/>
          <w:sz w:val="18"/>
          <w:szCs w:val="18"/>
          <w:lang w:val="es-MX"/>
        </w:rPr>
        <w:t xml:space="preserve">del </w:t>
      </w:r>
      <w:r w:rsidR="00100834" w:rsidRPr="00C5523A">
        <w:rPr>
          <w:rFonts w:ascii="Verdana" w:eastAsia="Times New Roman" w:hAnsi="Verdana"/>
          <w:sz w:val="18"/>
          <w:szCs w:val="18"/>
          <w:lang w:val="es-MX"/>
        </w:rPr>
        <w:t xml:space="preserve">techo, </w:t>
      </w:r>
      <w:r w:rsidR="004B08B4" w:rsidRPr="00C5523A">
        <w:rPr>
          <w:rFonts w:ascii="Verdana" w:eastAsia="Times New Roman" w:hAnsi="Verdana"/>
          <w:sz w:val="18"/>
          <w:szCs w:val="18"/>
          <w:lang w:val="es-MX"/>
        </w:rPr>
        <w:t xml:space="preserve">climatización, extracción de pintura a base de plomo y </w:t>
      </w:r>
      <w:r w:rsidR="00AB5FFC" w:rsidRPr="00C5523A">
        <w:rPr>
          <w:rFonts w:ascii="Verdana" w:eastAsia="Times New Roman" w:hAnsi="Verdana"/>
          <w:sz w:val="18"/>
          <w:szCs w:val="18"/>
          <w:lang w:val="es-MX"/>
        </w:rPr>
        <w:t>amianto</w:t>
      </w:r>
      <w:r w:rsidR="006E179C" w:rsidRPr="00C5523A">
        <w:rPr>
          <w:rFonts w:ascii="Verdana" w:eastAsia="Times New Roman" w:hAnsi="Verdana"/>
          <w:sz w:val="18"/>
          <w:szCs w:val="18"/>
          <w:lang w:val="es-MX"/>
        </w:rPr>
        <w:t xml:space="preserve">, y otras mejoras relacionadas con la </w:t>
      </w:r>
      <w:r w:rsidR="00C5523A" w:rsidRPr="00C5523A">
        <w:rPr>
          <w:rFonts w:ascii="Verdana" w:eastAsia="Times New Roman" w:hAnsi="Verdana"/>
          <w:sz w:val="18"/>
          <w:szCs w:val="18"/>
          <w:lang w:val="es-MX"/>
        </w:rPr>
        <w:t xml:space="preserve">construcción tales como la necesidad de acceso para las personas con </w:t>
      </w:r>
      <w:r w:rsidR="00AB5FFC" w:rsidRPr="00C5523A">
        <w:rPr>
          <w:rFonts w:ascii="Verdana" w:eastAsia="Times New Roman" w:hAnsi="Verdana"/>
          <w:sz w:val="18"/>
          <w:szCs w:val="18"/>
          <w:lang w:val="es-MX"/>
        </w:rPr>
        <w:t>discapacidades</w:t>
      </w:r>
      <w:r w:rsidR="00C5523A" w:rsidRPr="00C5523A">
        <w:rPr>
          <w:rFonts w:ascii="Verdana" w:eastAsia="Times New Roman" w:hAnsi="Verdana"/>
          <w:sz w:val="18"/>
          <w:szCs w:val="18"/>
          <w:lang w:val="es-MX"/>
        </w:rPr>
        <w:t xml:space="preserve"> y otras mejoras qu</w:t>
      </w:r>
      <w:r w:rsidR="00C5523A">
        <w:rPr>
          <w:rFonts w:ascii="Verdana" w:eastAsia="Times New Roman" w:hAnsi="Verdana"/>
          <w:sz w:val="18"/>
          <w:szCs w:val="18"/>
          <w:lang w:val="es-MX"/>
        </w:rPr>
        <w:t>e eliminan los riesgos para los habitantes de la vivienda</w:t>
      </w:r>
      <w:r w:rsidR="00B35C8F">
        <w:rPr>
          <w:rFonts w:ascii="Verdana" w:eastAsia="Times New Roman" w:hAnsi="Verdana"/>
          <w:sz w:val="18"/>
          <w:szCs w:val="18"/>
          <w:lang w:val="es-MX"/>
        </w:rPr>
        <w:t xml:space="preserve"> en cuestión.  </w:t>
      </w:r>
    </w:p>
    <w:p w14:paraId="576877AD" w14:textId="77777777" w:rsidR="008428FD" w:rsidRPr="00644BD4" w:rsidRDefault="008428FD" w:rsidP="008428FD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  <w:lang w:val="es-MX"/>
        </w:rPr>
      </w:pPr>
    </w:p>
    <w:p w14:paraId="4D661DAA" w14:textId="77777777" w:rsidR="00104A34" w:rsidRDefault="00104A34" w:rsidP="008428FD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  <w:lang w:val="es-MX"/>
        </w:rPr>
      </w:pPr>
    </w:p>
    <w:p w14:paraId="76D4AA46" w14:textId="77777777" w:rsidR="00104A34" w:rsidRDefault="00104A34" w:rsidP="008428FD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  <w:lang w:val="es-MX"/>
        </w:rPr>
      </w:pPr>
    </w:p>
    <w:p w14:paraId="5DC40FC6" w14:textId="618CEFB4" w:rsidR="004E2C37" w:rsidRPr="00644BD4" w:rsidRDefault="00B10C50" w:rsidP="008428FD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  <w:lang w:val="es-MX"/>
        </w:rPr>
      </w:pPr>
      <w:r w:rsidRPr="00644BD4">
        <w:rPr>
          <w:rFonts w:ascii="Verdana" w:eastAsia="Times New Roman" w:hAnsi="Verdana"/>
          <w:b/>
          <w:bCs/>
          <w:sz w:val="18"/>
          <w:szCs w:val="18"/>
          <w:lang w:val="es-MX"/>
        </w:rPr>
        <w:lastRenderedPageBreak/>
        <w:t>¿Quiénes son elegibles?</w:t>
      </w:r>
    </w:p>
    <w:p w14:paraId="459DF64C" w14:textId="5FA08D1D" w:rsidR="004E2C37" w:rsidRPr="00D003C4" w:rsidRDefault="00B35C8F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787C6A">
        <w:rPr>
          <w:rFonts w:ascii="Verdana" w:eastAsia="Times New Roman" w:hAnsi="Verdana"/>
          <w:sz w:val="18"/>
          <w:szCs w:val="18"/>
          <w:lang w:val="es-MX"/>
        </w:rPr>
        <w:t xml:space="preserve">Los propietarios de viviendas o </w:t>
      </w:r>
      <w:r w:rsidR="00C63190" w:rsidRPr="00787C6A">
        <w:rPr>
          <w:rFonts w:ascii="Verdana" w:eastAsia="Times New Roman" w:hAnsi="Verdana"/>
          <w:sz w:val="18"/>
          <w:szCs w:val="18"/>
          <w:lang w:val="es-MX"/>
        </w:rPr>
        <w:t xml:space="preserve">arrendadores con inquilinos que tengan </w:t>
      </w:r>
      <w:r w:rsidR="0008470F" w:rsidRPr="00787C6A">
        <w:rPr>
          <w:rFonts w:ascii="Verdana" w:eastAsia="Times New Roman" w:hAnsi="Verdana"/>
          <w:sz w:val="18"/>
          <w:szCs w:val="18"/>
          <w:lang w:val="es-MX"/>
        </w:rPr>
        <w:t>un valor total de i</w:t>
      </w:r>
      <w:r w:rsidR="00C63190" w:rsidRPr="00787C6A">
        <w:rPr>
          <w:rFonts w:ascii="Verdana" w:eastAsia="Times New Roman" w:hAnsi="Verdana"/>
          <w:sz w:val="18"/>
          <w:szCs w:val="18"/>
          <w:lang w:val="es-MX"/>
        </w:rPr>
        <w:t xml:space="preserve">ngresos brutos </w:t>
      </w:r>
      <w:r w:rsidR="0008470F" w:rsidRPr="00787C6A">
        <w:rPr>
          <w:rFonts w:ascii="Verdana" w:eastAsia="Times New Roman" w:hAnsi="Verdana"/>
          <w:sz w:val="18"/>
          <w:szCs w:val="18"/>
          <w:lang w:val="es-MX"/>
        </w:rPr>
        <w:t xml:space="preserve">anuales </w:t>
      </w:r>
      <w:r w:rsidR="00787C6A" w:rsidRPr="00787C6A">
        <w:rPr>
          <w:rFonts w:ascii="Verdana" w:eastAsia="Times New Roman" w:hAnsi="Verdana"/>
          <w:sz w:val="18"/>
          <w:szCs w:val="18"/>
          <w:lang w:val="es-MX"/>
        </w:rPr>
        <w:t xml:space="preserve">por hogar que caen dentro de </w:t>
      </w:r>
      <w:r w:rsidR="00787C6A">
        <w:rPr>
          <w:rFonts w:ascii="Verdana" w:eastAsia="Times New Roman" w:hAnsi="Verdana"/>
          <w:sz w:val="18"/>
          <w:szCs w:val="18"/>
          <w:lang w:val="es-MX"/>
        </w:rPr>
        <w:t xml:space="preserve">las cifras anteriormente mencionadas.  </w:t>
      </w:r>
      <w:r w:rsidR="00787C6A" w:rsidRPr="00590399">
        <w:rPr>
          <w:rFonts w:ascii="Verdana" w:eastAsia="Times New Roman" w:hAnsi="Verdana"/>
          <w:sz w:val="18"/>
          <w:szCs w:val="18"/>
          <w:lang w:val="es-MX"/>
        </w:rPr>
        <w:t xml:space="preserve">Se </w:t>
      </w:r>
      <w:r w:rsidR="00D003C4" w:rsidRPr="00590399">
        <w:rPr>
          <w:rFonts w:ascii="Verdana" w:eastAsia="Times New Roman" w:hAnsi="Verdana"/>
          <w:sz w:val="18"/>
          <w:szCs w:val="18"/>
          <w:lang w:val="es-MX"/>
        </w:rPr>
        <w:t>les</w:t>
      </w:r>
      <w:r w:rsidR="00787C6A" w:rsidRPr="00590399">
        <w:rPr>
          <w:rFonts w:ascii="Verdana" w:eastAsia="Times New Roman" w:hAnsi="Verdana"/>
          <w:sz w:val="18"/>
          <w:szCs w:val="18"/>
          <w:lang w:val="es-MX"/>
        </w:rPr>
        <w:t xml:space="preserve"> asigna prioridad a las fincas </w:t>
      </w:r>
      <w:r w:rsidR="00D003C4" w:rsidRPr="00590399">
        <w:rPr>
          <w:rFonts w:ascii="Verdana" w:eastAsia="Times New Roman" w:hAnsi="Verdana"/>
          <w:sz w:val="18"/>
          <w:szCs w:val="18"/>
          <w:lang w:val="es-MX"/>
        </w:rPr>
        <w:t>raíz</w:t>
      </w:r>
      <w:r w:rsidR="00787C6A" w:rsidRPr="00590399">
        <w:rPr>
          <w:rFonts w:ascii="Verdana" w:eastAsia="Times New Roman" w:hAnsi="Verdana"/>
          <w:sz w:val="18"/>
          <w:szCs w:val="18"/>
          <w:lang w:val="es-MX"/>
        </w:rPr>
        <w:t xml:space="preserve"> ubicadas en la </w:t>
      </w:r>
      <w:r w:rsidR="00877D1D" w:rsidRPr="00590399">
        <w:rPr>
          <w:rFonts w:ascii="Verdana" w:eastAsia="Times New Roman" w:hAnsi="Verdana"/>
          <w:sz w:val="18"/>
          <w:szCs w:val="18"/>
          <w:lang w:val="es-MX"/>
        </w:rPr>
        <w:t xml:space="preserve">zona </w:t>
      </w:r>
      <w:r w:rsidR="002E38D3">
        <w:rPr>
          <w:rFonts w:ascii="Verdana" w:eastAsia="Times New Roman" w:hAnsi="Verdana"/>
          <w:sz w:val="18"/>
          <w:szCs w:val="18"/>
          <w:lang w:val="es-MX"/>
        </w:rPr>
        <w:t>objetivo</w:t>
      </w:r>
      <w:r w:rsidR="00877D1D" w:rsidRPr="00590399">
        <w:rPr>
          <w:rFonts w:ascii="Verdana" w:eastAsia="Times New Roman" w:hAnsi="Verdana"/>
          <w:sz w:val="18"/>
          <w:szCs w:val="18"/>
          <w:lang w:val="es-MX"/>
        </w:rPr>
        <w:t xml:space="preserve"> para el </w:t>
      </w:r>
      <w:r w:rsidR="00590399" w:rsidRPr="00590399">
        <w:rPr>
          <w:rFonts w:ascii="Verdana" w:eastAsia="Times New Roman" w:hAnsi="Verdana"/>
          <w:sz w:val="18"/>
          <w:szCs w:val="18"/>
          <w:lang w:val="es-MX"/>
        </w:rPr>
        <w:t>ejer</w:t>
      </w:r>
      <w:r w:rsidR="00590399">
        <w:rPr>
          <w:rFonts w:ascii="Verdana" w:eastAsia="Times New Roman" w:hAnsi="Verdana"/>
          <w:sz w:val="18"/>
          <w:szCs w:val="18"/>
          <w:lang w:val="es-MX"/>
        </w:rPr>
        <w:t xml:space="preserve">cicio fiscal en cuestión. </w:t>
      </w:r>
      <w:r w:rsidR="00877D1D" w:rsidRPr="00590399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8428FD" w:rsidRPr="00D003C4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57FE9381" w14:textId="77777777" w:rsidR="008428FD" w:rsidRPr="00D003C4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3F92C998" w14:textId="2060D7D1" w:rsidR="00E850BE" w:rsidRPr="007658E8" w:rsidRDefault="00D003C4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E850BE">
        <w:rPr>
          <w:rFonts w:ascii="Verdana" w:eastAsia="Times New Roman" w:hAnsi="Verdana"/>
          <w:sz w:val="18"/>
          <w:szCs w:val="18"/>
          <w:lang w:val="es-MX"/>
        </w:rPr>
        <w:t>Arrendadore</w:t>
      </w:r>
      <w:r w:rsidR="00263F56" w:rsidRPr="00E850BE">
        <w:rPr>
          <w:rFonts w:ascii="Verdana" w:eastAsia="Times New Roman" w:hAnsi="Verdana"/>
          <w:sz w:val="18"/>
          <w:szCs w:val="18"/>
          <w:lang w:val="es-MX"/>
        </w:rPr>
        <w:t>s:</w:t>
      </w:r>
      <w:r w:rsidRPr="00E850BE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263F56" w:rsidRPr="00E850BE">
        <w:rPr>
          <w:rFonts w:ascii="Verdana" w:eastAsia="Times New Roman" w:hAnsi="Verdana"/>
          <w:sz w:val="18"/>
          <w:szCs w:val="18"/>
          <w:lang w:val="es-MX"/>
        </w:rPr>
        <w:t xml:space="preserve">  </w:t>
      </w:r>
      <w:r w:rsidR="00E850BE" w:rsidRPr="00E850BE">
        <w:rPr>
          <w:rFonts w:ascii="Verdana" w:eastAsia="Times New Roman" w:hAnsi="Verdana"/>
          <w:sz w:val="18"/>
          <w:szCs w:val="18"/>
          <w:lang w:val="es-MX"/>
        </w:rPr>
        <w:t xml:space="preserve">Cabe destacar que </w:t>
      </w:r>
      <w:r w:rsidR="001E29E0" w:rsidRPr="00E850BE">
        <w:rPr>
          <w:rFonts w:ascii="Verdana" w:eastAsia="Times New Roman" w:hAnsi="Verdana"/>
          <w:sz w:val="18"/>
          <w:szCs w:val="18"/>
          <w:lang w:val="es-MX"/>
        </w:rPr>
        <w:t>todas las viviendas</w:t>
      </w:r>
      <w:r w:rsidR="002E38D3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E850BE" w:rsidRPr="00E850BE">
        <w:rPr>
          <w:rFonts w:ascii="Verdana" w:eastAsia="Times New Roman" w:hAnsi="Verdana"/>
          <w:sz w:val="18"/>
          <w:szCs w:val="18"/>
          <w:lang w:val="es-MX"/>
        </w:rPr>
        <w:t>subvencionadas con fondos de este programa deberán e</w:t>
      </w:r>
      <w:r w:rsidR="00E850BE">
        <w:rPr>
          <w:rFonts w:ascii="Verdana" w:eastAsia="Times New Roman" w:hAnsi="Verdana"/>
          <w:sz w:val="18"/>
          <w:szCs w:val="18"/>
          <w:lang w:val="es-MX"/>
        </w:rPr>
        <w:t xml:space="preserve">ntrar en contrato de arriendo con la Ciudad de Everett por un periodo no menor a 15 años a partir de la fecha </w:t>
      </w:r>
      <w:r w:rsidR="00D300D2">
        <w:rPr>
          <w:rFonts w:ascii="Verdana" w:eastAsia="Times New Roman" w:hAnsi="Verdana"/>
          <w:sz w:val="18"/>
          <w:szCs w:val="18"/>
          <w:lang w:val="es-MX"/>
        </w:rPr>
        <w:t xml:space="preserve">de la finalización del proyecto.  </w:t>
      </w:r>
      <w:r w:rsidR="00F110ED">
        <w:rPr>
          <w:rFonts w:ascii="Verdana" w:eastAsia="Times New Roman" w:hAnsi="Verdana"/>
          <w:sz w:val="18"/>
          <w:szCs w:val="18"/>
          <w:lang w:val="es-MX"/>
        </w:rPr>
        <w:t>Las tarifas</w:t>
      </w:r>
      <w:r w:rsidR="009971E6">
        <w:rPr>
          <w:rFonts w:ascii="Verdana" w:eastAsia="Times New Roman" w:hAnsi="Verdana"/>
          <w:sz w:val="18"/>
          <w:szCs w:val="18"/>
          <w:lang w:val="es-MX"/>
        </w:rPr>
        <w:t xml:space="preserve"> de alquiler </w:t>
      </w:r>
      <w:r w:rsidR="00370A17">
        <w:rPr>
          <w:rFonts w:ascii="Verdana" w:eastAsia="Times New Roman" w:hAnsi="Verdana"/>
          <w:sz w:val="18"/>
          <w:szCs w:val="18"/>
          <w:lang w:val="es-MX"/>
        </w:rPr>
        <w:t>máximas</w:t>
      </w:r>
      <w:r w:rsidR="002571F8">
        <w:rPr>
          <w:rFonts w:ascii="Verdana" w:eastAsia="Times New Roman" w:hAnsi="Verdana"/>
          <w:sz w:val="18"/>
          <w:szCs w:val="18"/>
          <w:lang w:val="es-MX"/>
        </w:rPr>
        <w:t xml:space="preserve"> para las vivienda</w:t>
      </w:r>
      <w:r w:rsidR="009971E6">
        <w:rPr>
          <w:rFonts w:ascii="Verdana" w:eastAsia="Times New Roman" w:hAnsi="Verdana"/>
          <w:sz w:val="18"/>
          <w:szCs w:val="18"/>
          <w:lang w:val="es-MX"/>
        </w:rPr>
        <w:t xml:space="preserve">s de arriendo </w:t>
      </w:r>
      <w:r w:rsidR="00A31B03">
        <w:rPr>
          <w:rFonts w:ascii="Verdana" w:eastAsia="Times New Roman" w:hAnsi="Verdana"/>
          <w:sz w:val="18"/>
          <w:szCs w:val="18"/>
          <w:lang w:val="es-MX"/>
        </w:rPr>
        <w:t>se establecerán según los alquileres justos de mercado del Programa de la Sección 8</w:t>
      </w:r>
      <w:r w:rsidR="00911CD4">
        <w:rPr>
          <w:rFonts w:ascii="Verdana" w:eastAsia="Times New Roman" w:hAnsi="Verdana"/>
          <w:sz w:val="18"/>
          <w:szCs w:val="18"/>
          <w:lang w:val="es-MX"/>
        </w:rPr>
        <w:t>, inclu</w:t>
      </w:r>
      <w:r w:rsidR="00E4347D">
        <w:rPr>
          <w:rFonts w:ascii="Verdana" w:eastAsia="Times New Roman" w:hAnsi="Verdana"/>
          <w:sz w:val="18"/>
          <w:szCs w:val="18"/>
          <w:lang w:val="es-MX"/>
        </w:rPr>
        <w:t>yendo</w:t>
      </w:r>
      <w:r w:rsidR="00911CD4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767826">
        <w:rPr>
          <w:rFonts w:ascii="Verdana" w:eastAsia="Times New Roman" w:hAnsi="Verdana"/>
          <w:sz w:val="18"/>
          <w:szCs w:val="18"/>
          <w:lang w:val="es-MX"/>
        </w:rPr>
        <w:t xml:space="preserve">los factores de ajuste anual.  </w:t>
      </w:r>
      <w:r w:rsidR="00767826" w:rsidRPr="00767826">
        <w:rPr>
          <w:rFonts w:ascii="Verdana" w:eastAsia="Times New Roman" w:hAnsi="Verdana"/>
          <w:sz w:val="18"/>
          <w:szCs w:val="18"/>
          <w:lang w:val="es-MX"/>
        </w:rPr>
        <w:t xml:space="preserve">La tarifa real será </w:t>
      </w:r>
      <w:r w:rsidR="00EB0C4A">
        <w:rPr>
          <w:rFonts w:ascii="Verdana" w:eastAsia="Times New Roman" w:hAnsi="Verdana"/>
          <w:sz w:val="18"/>
          <w:szCs w:val="18"/>
          <w:lang w:val="es-MX"/>
        </w:rPr>
        <w:t>fijada</w:t>
      </w:r>
      <w:r w:rsidR="00767826" w:rsidRPr="00767826">
        <w:rPr>
          <w:rFonts w:ascii="Verdana" w:eastAsia="Times New Roman" w:hAnsi="Verdana"/>
          <w:sz w:val="18"/>
          <w:szCs w:val="18"/>
          <w:lang w:val="es-MX"/>
        </w:rPr>
        <w:t xml:space="preserve"> por el Departamento de Planificació</w:t>
      </w:r>
      <w:r w:rsidR="00767826">
        <w:rPr>
          <w:rFonts w:ascii="Verdana" w:eastAsia="Times New Roman" w:hAnsi="Verdana"/>
          <w:sz w:val="18"/>
          <w:szCs w:val="18"/>
          <w:lang w:val="es-MX"/>
        </w:rPr>
        <w:t xml:space="preserve">n y Desarrollo y </w:t>
      </w:r>
      <w:r w:rsidR="0034503A">
        <w:rPr>
          <w:rFonts w:ascii="Verdana" w:eastAsia="Times New Roman" w:hAnsi="Verdana"/>
          <w:sz w:val="18"/>
          <w:szCs w:val="18"/>
          <w:lang w:val="es-MX"/>
        </w:rPr>
        <w:t xml:space="preserve">acordada por el propietario antes de la ejecución del contrato.  </w:t>
      </w:r>
      <w:r w:rsidR="0034503A" w:rsidRPr="007658E8">
        <w:rPr>
          <w:rFonts w:ascii="Verdana" w:eastAsia="Times New Roman" w:hAnsi="Verdana"/>
          <w:sz w:val="18"/>
          <w:szCs w:val="18"/>
          <w:lang w:val="es-MX"/>
        </w:rPr>
        <w:t>Todo Contrato de Alquiler</w:t>
      </w:r>
      <w:r w:rsidR="007658E8" w:rsidRPr="007658E8">
        <w:rPr>
          <w:rFonts w:ascii="Verdana" w:eastAsia="Times New Roman" w:hAnsi="Verdana"/>
          <w:sz w:val="18"/>
          <w:szCs w:val="18"/>
          <w:lang w:val="es-MX"/>
        </w:rPr>
        <w:t xml:space="preserve"> se inco</w:t>
      </w:r>
      <w:r w:rsidR="00134042">
        <w:rPr>
          <w:rFonts w:ascii="Verdana" w:eastAsia="Times New Roman" w:hAnsi="Verdana"/>
          <w:sz w:val="18"/>
          <w:szCs w:val="18"/>
          <w:lang w:val="es-MX"/>
        </w:rPr>
        <w:t>r</w:t>
      </w:r>
      <w:r w:rsidR="007658E8" w:rsidRPr="007658E8">
        <w:rPr>
          <w:rFonts w:ascii="Verdana" w:eastAsia="Times New Roman" w:hAnsi="Verdana"/>
          <w:sz w:val="18"/>
          <w:szCs w:val="18"/>
          <w:lang w:val="es-MX"/>
        </w:rPr>
        <w:t>porará al Contrato del P</w:t>
      </w:r>
      <w:r w:rsidR="007658E8">
        <w:rPr>
          <w:rFonts w:ascii="Verdana" w:eastAsia="Times New Roman" w:hAnsi="Verdana"/>
          <w:sz w:val="18"/>
          <w:szCs w:val="18"/>
          <w:lang w:val="es-MX"/>
        </w:rPr>
        <w:t xml:space="preserve">rograma.  </w:t>
      </w:r>
    </w:p>
    <w:p w14:paraId="7625A8C1" w14:textId="4831C21D" w:rsidR="008428FD" w:rsidRPr="00644BD4" w:rsidRDefault="00134042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30D4B880" w14:textId="5173FB46" w:rsidR="002D60A0" w:rsidRDefault="00B819F8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2D60A0">
        <w:rPr>
          <w:rFonts w:ascii="Verdana" w:eastAsia="Times New Roman" w:hAnsi="Verdana"/>
          <w:sz w:val="18"/>
          <w:szCs w:val="18"/>
          <w:lang w:val="es-MX"/>
        </w:rPr>
        <w:t xml:space="preserve">Para </w:t>
      </w:r>
      <w:r w:rsidR="00287D96">
        <w:rPr>
          <w:rFonts w:ascii="Verdana" w:eastAsia="Times New Roman" w:hAnsi="Verdana"/>
          <w:sz w:val="18"/>
          <w:szCs w:val="18"/>
          <w:lang w:val="es-MX"/>
        </w:rPr>
        <w:t>garantizar</w:t>
      </w:r>
      <w:r w:rsidRPr="002D60A0">
        <w:rPr>
          <w:rFonts w:ascii="Verdana" w:eastAsia="Times New Roman" w:hAnsi="Verdana"/>
          <w:sz w:val="18"/>
          <w:szCs w:val="18"/>
          <w:lang w:val="es-MX"/>
        </w:rPr>
        <w:t xml:space="preserve"> la distribución equitativa de los fondos del programa</w:t>
      </w:r>
      <w:r w:rsidR="00D23231" w:rsidRPr="002D60A0">
        <w:rPr>
          <w:rFonts w:ascii="Verdana" w:eastAsia="Times New Roman" w:hAnsi="Verdana"/>
          <w:sz w:val="18"/>
          <w:szCs w:val="18"/>
          <w:lang w:val="es-MX"/>
        </w:rPr>
        <w:t xml:space="preserve">, </w:t>
      </w:r>
      <w:r w:rsidR="00EA56ED" w:rsidRPr="002D60A0">
        <w:rPr>
          <w:rFonts w:ascii="Verdana" w:eastAsia="Times New Roman" w:hAnsi="Verdana"/>
          <w:sz w:val="18"/>
          <w:szCs w:val="18"/>
          <w:lang w:val="es-MX"/>
        </w:rPr>
        <w:t xml:space="preserve">cualquier propietario </w:t>
      </w:r>
      <w:r w:rsidR="00C32144" w:rsidRPr="002D60A0">
        <w:rPr>
          <w:rFonts w:ascii="Verdana" w:eastAsia="Times New Roman" w:hAnsi="Verdana"/>
          <w:sz w:val="18"/>
          <w:szCs w:val="18"/>
          <w:lang w:val="es-MX"/>
        </w:rPr>
        <w:t xml:space="preserve">o finca </w:t>
      </w:r>
      <w:r w:rsidR="004C60F9" w:rsidRPr="002D60A0">
        <w:rPr>
          <w:rFonts w:ascii="Verdana" w:eastAsia="Times New Roman" w:hAnsi="Verdana"/>
          <w:sz w:val="18"/>
          <w:szCs w:val="18"/>
          <w:lang w:val="es-MX"/>
        </w:rPr>
        <w:t>raíz que</w:t>
      </w:r>
      <w:r w:rsidR="00EA56ED" w:rsidRPr="002D60A0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2437D5" w:rsidRPr="002D60A0">
        <w:rPr>
          <w:rFonts w:ascii="Verdana" w:eastAsia="Times New Roman" w:hAnsi="Verdana"/>
          <w:sz w:val="18"/>
          <w:szCs w:val="18"/>
          <w:lang w:val="es-MX"/>
        </w:rPr>
        <w:t xml:space="preserve">ha recibido alguna subvención por el </w:t>
      </w:r>
      <w:r w:rsidR="002F3467" w:rsidRPr="002D60A0">
        <w:rPr>
          <w:rFonts w:ascii="Verdana" w:eastAsia="Times New Roman" w:hAnsi="Verdana"/>
          <w:sz w:val="18"/>
          <w:szCs w:val="18"/>
          <w:lang w:val="es-MX"/>
        </w:rPr>
        <w:t xml:space="preserve">Programa de Rehabilitación de Viviendas de la Ciudad de Everett, financiado por alguno de los Programas HOME o CDBG, durante </w:t>
      </w:r>
      <w:r w:rsidR="004C60F9" w:rsidRPr="002D60A0">
        <w:rPr>
          <w:rFonts w:ascii="Verdana" w:eastAsia="Times New Roman" w:hAnsi="Verdana"/>
          <w:sz w:val="18"/>
          <w:szCs w:val="18"/>
          <w:lang w:val="es-MX"/>
        </w:rPr>
        <w:t>los 15</w:t>
      </w:r>
      <w:r w:rsidR="002D60A0">
        <w:rPr>
          <w:rFonts w:ascii="Verdana" w:eastAsia="Times New Roman" w:hAnsi="Verdana"/>
          <w:sz w:val="18"/>
          <w:szCs w:val="18"/>
          <w:lang w:val="es-MX"/>
        </w:rPr>
        <w:t xml:space="preserve"> años anteriores a la presentación de la solicitud, no </w:t>
      </w:r>
      <w:r w:rsidR="00523728">
        <w:rPr>
          <w:rFonts w:ascii="Verdana" w:eastAsia="Times New Roman" w:hAnsi="Verdana"/>
          <w:sz w:val="18"/>
          <w:szCs w:val="18"/>
          <w:lang w:val="es-MX"/>
        </w:rPr>
        <w:t>tendrá elegibilidad de participación</w:t>
      </w:r>
      <w:r w:rsidR="002D60A0">
        <w:rPr>
          <w:rFonts w:ascii="Verdana" w:eastAsia="Times New Roman" w:hAnsi="Verdana"/>
          <w:sz w:val="18"/>
          <w:szCs w:val="18"/>
          <w:lang w:val="es-MX"/>
        </w:rPr>
        <w:t xml:space="preserve">.  </w:t>
      </w:r>
    </w:p>
    <w:p w14:paraId="5EA7929E" w14:textId="77777777" w:rsidR="00523728" w:rsidRPr="002D60A0" w:rsidRDefault="00523728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19034FA0" w14:textId="77777777" w:rsidR="008428FD" w:rsidRPr="00211CCD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2F125E21" w14:textId="4B9155DA" w:rsidR="008428FD" w:rsidRPr="00644BD4" w:rsidRDefault="008428FD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  <w:r w:rsidRPr="00644BD4">
        <w:rPr>
          <w:rFonts w:ascii="Verdana" w:eastAsia="Times New Roman" w:hAnsi="Verdana"/>
          <w:b/>
          <w:sz w:val="18"/>
          <w:szCs w:val="18"/>
          <w:lang w:val="es-MX"/>
        </w:rPr>
        <w:t>Otr</w:t>
      </w:r>
      <w:r w:rsidR="00B02F6D" w:rsidRPr="00644BD4">
        <w:rPr>
          <w:rFonts w:ascii="Verdana" w:eastAsia="Times New Roman" w:hAnsi="Verdana"/>
          <w:b/>
          <w:sz w:val="18"/>
          <w:szCs w:val="18"/>
          <w:lang w:val="es-MX"/>
        </w:rPr>
        <w:t>os</w:t>
      </w:r>
      <w:r w:rsidRPr="00644BD4">
        <w:rPr>
          <w:rFonts w:ascii="Verdana" w:eastAsia="Times New Roman" w:hAnsi="Verdana"/>
          <w:b/>
          <w:sz w:val="18"/>
          <w:szCs w:val="18"/>
          <w:lang w:val="es-MX"/>
        </w:rPr>
        <w:t xml:space="preserve"> </w:t>
      </w:r>
      <w:r w:rsidR="00B02F6D" w:rsidRPr="00644BD4">
        <w:rPr>
          <w:rFonts w:ascii="Verdana" w:eastAsia="Times New Roman" w:hAnsi="Verdana"/>
          <w:b/>
          <w:sz w:val="18"/>
          <w:szCs w:val="18"/>
          <w:lang w:val="es-MX"/>
        </w:rPr>
        <w:t>requisit</w:t>
      </w:r>
      <w:r w:rsidR="00470A72" w:rsidRPr="00644BD4">
        <w:rPr>
          <w:rFonts w:ascii="Verdana" w:eastAsia="Times New Roman" w:hAnsi="Verdana"/>
          <w:b/>
          <w:sz w:val="18"/>
          <w:szCs w:val="18"/>
          <w:lang w:val="es-MX"/>
        </w:rPr>
        <w:t>o</w:t>
      </w:r>
      <w:r w:rsidR="00B02F6D" w:rsidRPr="00644BD4">
        <w:rPr>
          <w:rFonts w:ascii="Verdana" w:eastAsia="Times New Roman" w:hAnsi="Verdana"/>
          <w:b/>
          <w:sz w:val="18"/>
          <w:szCs w:val="18"/>
          <w:lang w:val="es-MX"/>
        </w:rPr>
        <w:t>s:</w:t>
      </w:r>
    </w:p>
    <w:p w14:paraId="1DFE6C85" w14:textId="2957BE34" w:rsidR="003A1D90" w:rsidRPr="003A1D90" w:rsidRDefault="009C5E7E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3A1D90">
        <w:rPr>
          <w:rFonts w:ascii="Verdana" w:eastAsia="Times New Roman" w:hAnsi="Verdana"/>
          <w:sz w:val="18"/>
          <w:szCs w:val="18"/>
          <w:lang w:val="es-MX"/>
        </w:rPr>
        <w:t xml:space="preserve">Todo participante debe estar al día </w:t>
      </w:r>
      <w:r w:rsidR="00CB7754" w:rsidRPr="003A1D90">
        <w:rPr>
          <w:rFonts w:ascii="Verdana" w:eastAsia="Times New Roman" w:hAnsi="Verdana"/>
          <w:sz w:val="18"/>
          <w:szCs w:val="18"/>
          <w:lang w:val="es-MX"/>
        </w:rPr>
        <w:t xml:space="preserve">con sus contribuciones del predial, </w:t>
      </w:r>
      <w:r w:rsidR="003A1D90" w:rsidRPr="003A1D90">
        <w:rPr>
          <w:rFonts w:ascii="Verdana" w:eastAsia="Times New Roman" w:hAnsi="Verdana"/>
          <w:sz w:val="18"/>
          <w:szCs w:val="18"/>
          <w:lang w:val="es-MX"/>
        </w:rPr>
        <w:t>cañones</w:t>
      </w:r>
      <w:r w:rsidR="00CB7754" w:rsidRPr="003A1D90">
        <w:rPr>
          <w:rFonts w:ascii="Verdana" w:eastAsia="Times New Roman" w:hAnsi="Verdana"/>
          <w:sz w:val="18"/>
          <w:szCs w:val="18"/>
          <w:lang w:val="es-MX"/>
        </w:rPr>
        <w:t xml:space="preserve"> de agua y alcantarillado</w:t>
      </w:r>
      <w:r w:rsidR="003A1D90" w:rsidRPr="003A1D90">
        <w:rPr>
          <w:rFonts w:ascii="Verdana" w:eastAsia="Times New Roman" w:hAnsi="Verdana"/>
          <w:sz w:val="18"/>
          <w:szCs w:val="18"/>
          <w:lang w:val="es-MX"/>
        </w:rPr>
        <w:t>,</w:t>
      </w:r>
      <w:r w:rsidR="003A1D90">
        <w:rPr>
          <w:rFonts w:ascii="Verdana" w:eastAsia="Times New Roman" w:hAnsi="Verdana"/>
          <w:sz w:val="18"/>
          <w:szCs w:val="18"/>
          <w:lang w:val="es-MX"/>
        </w:rPr>
        <w:t xml:space="preserve"> avalúos y otros </w:t>
      </w:r>
      <w:r w:rsidR="00F65002">
        <w:rPr>
          <w:rFonts w:ascii="Verdana" w:eastAsia="Times New Roman" w:hAnsi="Verdana"/>
          <w:sz w:val="18"/>
          <w:szCs w:val="18"/>
          <w:lang w:val="es-MX"/>
        </w:rPr>
        <w:t>ca</w:t>
      </w:r>
      <w:r w:rsidR="00A14605">
        <w:rPr>
          <w:rFonts w:ascii="Verdana" w:eastAsia="Times New Roman" w:hAnsi="Verdana"/>
          <w:sz w:val="18"/>
          <w:szCs w:val="18"/>
          <w:lang w:val="es-MX"/>
        </w:rPr>
        <w:t>rgos</w:t>
      </w:r>
      <w:r w:rsidR="00F65002">
        <w:rPr>
          <w:rFonts w:ascii="Verdana" w:eastAsia="Times New Roman" w:hAnsi="Verdana"/>
          <w:sz w:val="18"/>
          <w:szCs w:val="18"/>
          <w:lang w:val="es-MX"/>
        </w:rPr>
        <w:t xml:space="preserve"> gubernamentales, multas y gravámenes antes de que puedan comenzar las obras en </w:t>
      </w:r>
      <w:proofErr w:type="spellStart"/>
      <w:r w:rsidR="00F65002">
        <w:rPr>
          <w:rFonts w:ascii="Verdana" w:eastAsia="Times New Roman" w:hAnsi="Verdana"/>
          <w:sz w:val="18"/>
          <w:szCs w:val="18"/>
          <w:lang w:val="es-MX"/>
        </w:rPr>
        <w:t>algun</w:t>
      </w:r>
      <w:proofErr w:type="spellEnd"/>
      <w:r w:rsidR="00F65002">
        <w:rPr>
          <w:rFonts w:ascii="Verdana" w:eastAsia="Times New Roman" w:hAnsi="Verdana"/>
          <w:sz w:val="18"/>
          <w:szCs w:val="18"/>
          <w:lang w:val="es-MX"/>
        </w:rPr>
        <w:t xml:space="preserve"> proyecto de rehabilitación </w:t>
      </w:r>
      <w:r w:rsidR="004C60F9">
        <w:rPr>
          <w:rFonts w:ascii="Verdana" w:eastAsia="Times New Roman" w:hAnsi="Verdana"/>
          <w:sz w:val="18"/>
          <w:szCs w:val="18"/>
          <w:lang w:val="es-MX"/>
        </w:rPr>
        <w:t>y estar</w:t>
      </w:r>
      <w:r w:rsidR="00EA0987">
        <w:rPr>
          <w:rFonts w:ascii="Verdana" w:eastAsia="Times New Roman" w:hAnsi="Verdana"/>
          <w:sz w:val="18"/>
          <w:szCs w:val="18"/>
          <w:lang w:val="es-MX"/>
        </w:rPr>
        <w:t xml:space="preserve"> corriente de los pagos durante </w:t>
      </w:r>
      <w:r w:rsidR="006214D8">
        <w:rPr>
          <w:rFonts w:ascii="Verdana" w:eastAsia="Times New Roman" w:hAnsi="Verdana"/>
          <w:sz w:val="18"/>
          <w:szCs w:val="18"/>
          <w:lang w:val="es-MX"/>
        </w:rPr>
        <w:t xml:space="preserve">toda la vigencia </w:t>
      </w:r>
      <w:r w:rsidR="002F2B2A">
        <w:rPr>
          <w:rFonts w:ascii="Verdana" w:eastAsia="Times New Roman" w:hAnsi="Verdana"/>
          <w:sz w:val="18"/>
          <w:szCs w:val="18"/>
          <w:lang w:val="es-MX"/>
        </w:rPr>
        <w:t xml:space="preserve">del préstamo.  </w:t>
      </w:r>
      <w:r w:rsidR="00AA60B6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474D452E" w14:textId="77777777" w:rsidR="003A1D90" w:rsidRPr="003A1D90" w:rsidRDefault="003A1D90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6EB1E9E2" w14:textId="2C102C61" w:rsidR="00641B56" w:rsidRPr="008212CB" w:rsidRDefault="006214D8" w:rsidP="00641B56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>
        <w:rPr>
          <w:rFonts w:ascii="Verdana" w:eastAsia="Times New Roman" w:hAnsi="Verdana"/>
          <w:sz w:val="18"/>
          <w:szCs w:val="18"/>
          <w:lang w:val="es-MX"/>
        </w:rPr>
        <w:t xml:space="preserve">La Ciudad de Everett se compromete a </w:t>
      </w:r>
      <w:r w:rsidR="000A5575">
        <w:rPr>
          <w:rFonts w:ascii="Verdana" w:eastAsia="Times New Roman" w:hAnsi="Verdana"/>
          <w:sz w:val="18"/>
          <w:szCs w:val="18"/>
          <w:lang w:val="es-MX"/>
        </w:rPr>
        <w:t xml:space="preserve">ceñirse a las disposiciones </w:t>
      </w:r>
      <w:proofErr w:type="spellStart"/>
      <w:r w:rsidR="000A5575">
        <w:rPr>
          <w:rFonts w:ascii="Verdana" w:eastAsia="Times New Roman" w:hAnsi="Verdana"/>
          <w:sz w:val="18"/>
          <w:szCs w:val="18"/>
          <w:lang w:val="es-MX"/>
        </w:rPr>
        <w:t>del</w:t>
      </w:r>
      <w:proofErr w:type="spellEnd"/>
      <w:r w:rsidR="000A5575">
        <w:rPr>
          <w:rFonts w:ascii="Verdana" w:eastAsia="Times New Roman" w:hAnsi="Verdana"/>
          <w:sz w:val="18"/>
          <w:szCs w:val="18"/>
          <w:lang w:val="es-MX"/>
        </w:rPr>
        <w:t xml:space="preserve"> las Leyes Generales de </w:t>
      </w:r>
      <w:r w:rsidR="001D689A">
        <w:rPr>
          <w:rFonts w:ascii="Verdana" w:eastAsia="Times New Roman" w:hAnsi="Verdana"/>
          <w:sz w:val="18"/>
          <w:szCs w:val="18"/>
          <w:lang w:val="es-MX"/>
        </w:rPr>
        <w:t>Massachusetts</w:t>
      </w:r>
      <w:r w:rsidR="000A5575">
        <w:rPr>
          <w:rFonts w:ascii="Verdana" w:eastAsia="Times New Roman" w:hAnsi="Verdana"/>
          <w:sz w:val="18"/>
          <w:szCs w:val="18"/>
          <w:lang w:val="es-MX"/>
        </w:rPr>
        <w:t>, C</w:t>
      </w:r>
      <w:r w:rsidR="00834170">
        <w:rPr>
          <w:rFonts w:ascii="Verdana" w:eastAsia="Times New Roman" w:hAnsi="Verdana"/>
          <w:sz w:val="18"/>
          <w:szCs w:val="18"/>
          <w:lang w:val="es-MX"/>
        </w:rPr>
        <w:t>apitulo 268</w:t>
      </w:r>
      <w:r w:rsidR="004801E2">
        <w:rPr>
          <w:rFonts w:ascii="Verdana" w:eastAsia="Times New Roman" w:hAnsi="Verdana"/>
          <w:sz w:val="18"/>
          <w:szCs w:val="18"/>
          <w:lang w:val="es-MX"/>
        </w:rPr>
        <w:t>A y las normas establecidas en 24 CFR 92.356 con respecto a los interes</w:t>
      </w:r>
      <w:r w:rsidR="007E7004">
        <w:rPr>
          <w:rFonts w:ascii="Verdana" w:eastAsia="Times New Roman" w:hAnsi="Verdana"/>
          <w:sz w:val="18"/>
          <w:szCs w:val="18"/>
          <w:lang w:val="es-MX"/>
        </w:rPr>
        <w:t>es contradictorios</w:t>
      </w:r>
      <w:r w:rsidR="004801E2">
        <w:rPr>
          <w:rFonts w:ascii="Verdana" w:eastAsia="Times New Roman" w:hAnsi="Verdana"/>
          <w:sz w:val="18"/>
          <w:szCs w:val="18"/>
          <w:lang w:val="es-MX"/>
        </w:rPr>
        <w:t>.</w:t>
      </w:r>
      <w:r w:rsidR="003871A7">
        <w:rPr>
          <w:rFonts w:ascii="Verdana" w:eastAsia="Times New Roman" w:hAnsi="Verdana"/>
          <w:sz w:val="18"/>
          <w:szCs w:val="18"/>
          <w:lang w:val="es-MX"/>
        </w:rPr>
        <w:t xml:space="preserve">  Ninguna persona que ejerce o ha ejercido cualquier función o responsabilidad </w:t>
      </w:r>
      <w:r w:rsidR="00061767">
        <w:rPr>
          <w:rFonts w:ascii="Verdana" w:eastAsia="Times New Roman" w:hAnsi="Verdana"/>
          <w:sz w:val="18"/>
          <w:szCs w:val="18"/>
          <w:lang w:val="es-MX"/>
        </w:rPr>
        <w:t>relacionada con las actividades a</w:t>
      </w:r>
      <w:r w:rsidR="004E5ECC">
        <w:rPr>
          <w:rFonts w:ascii="Verdana" w:eastAsia="Times New Roman" w:hAnsi="Verdana"/>
          <w:sz w:val="18"/>
          <w:szCs w:val="18"/>
          <w:lang w:val="es-MX"/>
        </w:rPr>
        <w:t xml:space="preserve">sistidas por fondos de CDBG o están en </w:t>
      </w:r>
      <w:r w:rsidR="00E320DC">
        <w:rPr>
          <w:rFonts w:ascii="Verdana" w:eastAsia="Times New Roman" w:hAnsi="Verdana"/>
          <w:sz w:val="18"/>
          <w:szCs w:val="18"/>
          <w:lang w:val="es-MX"/>
        </w:rPr>
        <w:t xml:space="preserve">condiciones de participar en </w:t>
      </w:r>
      <w:r w:rsidR="00A354A8">
        <w:rPr>
          <w:rFonts w:ascii="Verdana" w:eastAsia="Times New Roman" w:hAnsi="Verdana"/>
          <w:sz w:val="18"/>
          <w:szCs w:val="18"/>
          <w:lang w:val="es-MX"/>
        </w:rPr>
        <w:t xml:space="preserve">un </w:t>
      </w:r>
      <w:r w:rsidR="002C2146">
        <w:rPr>
          <w:rFonts w:ascii="Verdana" w:eastAsia="Times New Roman" w:hAnsi="Verdana"/>
          <w:sz w:val="18"/>
          <w:szCs w:val="18"/>
          <w:lang w:val="es-MX"/>
        </w:rPr>
        <w:t>proceso de</w:t>
      </w:r>
      <w:r w:rsidR="004E5ECC">
        <w:rPr>
          <w:rFonts w:ascii="Verdana" w:eastAsia="Times New Roman" w:hAnsi="Verdana"/>
          <w:sz w:val="18"/>
          <w:szCs w:val="18"/>
          <w:lang w:val="es-MX"/>
        </w:rPr>
        <w:t xml:space="preserve"> toma de decisiones </w:t>
      </w:r>
      <w:r w:rsidR="002C2146">
        <w:rPr>
          <w:rFonts w:ascii="Verdana" w:eastAsia="Times New Roman" w:hAnsi="Verdana"/>
          <w:sz w:val="18"/>
          <w:szCs w:val="18"/>
          <w:lang w:val="es-MX"/>
        </w:rPr>
        <w:t>o</w:t>
      </w:r>
      <w:r w:rsidR="00A354A8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60726B">
        <w:rPr>
          <w:rFonts w:ascii="Verdana" w:eastAsia="Times New Roman" w:hAnsi="Verdana"/>
          <w:sz w:val="18"/>
          <w:szCs w:val="18"/>
          <w:lang w:val="es-MX"/>
        </w:rPr>
        <w:t xml:space="preserve">de obtener información privilegiada con respecto a estas actividades, </w:t>
      </w:r>
      <w:r w:rsidR="008E6143">
        <w:rPr>
          <w:rFonts w:ascii="Verdana" w:eastAsia="Times New Roman" w:hAnsi="Verdana"/>
          <w:sz w:val="18"/>
          <w:szCs w:val="18"/>
          <w:lang w:val="es-MX"/>
        </w:rPr>
        <w:t xml:space="preserve">pueda obtener un </w:t>
      </w:r>
      <w:proofErr w:type="spellStart"/>
      <w:r w:rsidR="008E6143">
        <w:rPr>
          <w:rFonts w:ascii="Verdana" w:eastAsia="Times New Roman" w:hAnsi="Verdana"/>
          <w:sz w:val="18"/>
          <w:szCs w:val="18"/>
          <w:lang w:val="es-MX"/>
        </w:rPr>
        <w:t>interes</w:t>
      </w:r>
      <w:proofErr w:type="spellEnd"/>
      <w:r w:rsidR="008E6143">
        <w:rPr>
          <w:rFonts w:ascii="Verdana" w:eastAsia="Times New Roman" w:hAnsi="Verdana"/>
          <w:sz w:val="18"/>
          <w:szCs w:val="18"/>
          <w:lang w:val="es-MX"/>
        </w:rPr>
        <w:t xml:space="preserve"> o beneficio económico de alguna actividad </w:t>
      </w:r>
      <w:r w:rsidR="008212CB">
        <w:rPr>
          <w:rFonts w:ascii="Verdana" w:eastAsia="Times New Roman" w:hAnsi="Verdana"/>
          <w:sz w:val="18"/>
          <w:szCs w:val="18"/>
          <w:lang w:val="es-MX"/>
        </w:rPr>
        <w:t>subvencionada</w:t>
      </w:r>
      <w:r w:rsidR="008E6143">
        <w:rPr>
          <w:rFonts w:ascii="Verdana" w:eastAsia="Times New Roman" w:hAnsi="Verdana"/>
          <w:sz w:val="18"/>
          <w:szCs w:val="18"/>
          <w:lang w:val="es-MX"/>
        </w:rPr>
        <w:t xml:space="preserve"> por el CDBG, o </w:t>
      </w:r>
      <w:r w:rsidR="00761186">
        <w:rPr>
          <w:rFonts w:ascii="Verdana" w:eastAsia="Times New Roman" w:hAnsi="Verdana"/>
          <w:sz w:val="18"/>
          <w:szCs w:val="18"/>
          <w:lang w:val="es-MX"/>
        </w:rPr>
        <w:t xml:space="preserve">de los ingresos derivados del mismo, </w:t>
      </w:r>
      <w:r w:rsidR="002C2146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E83767">
        <w:rPr>
          <w:rFonts w:ascii="Verdana" w:eastAsia="Times New Roman" w:hAnsi="Verdana"/>
          <w:sz w:val="18"/>
          <w:szCs w:val="18"/>
          <w:lang w:val="es-MX"/>
        </w:rPr>
        <w:t xml:space="preserve">ya sea para </w:t>
      </w:r>
      <w:r w:rsidR="004C60F9">
        <w:rPr>
          <w:rFonts w:ascii="Verdana" w:eastAsia="Times New Roman" w:hAnsi="Verdana"/>
          <w:sz w:val="18"/>
          <w:szCs w:val="18"/>
          <w:lang w:val="es-MX"/>
        </w:rPr>
        <w:t>sí</w:t>
      </w:r>
      <w:r w:rsidR="00E83767">
        <w:rPr>
          <w:rFonts w:ascii="Verdana" w:eastAsia="Times New Roman" w:hAnsi="Verdana"/>
          <w:sz w:val="18"/>
          <w:szCs w:val="18"/>
          <w:lang w:val="es-MX"/>
        </w:rPr>
        <w:t xml:space="preserve"> mismo o para </w:t>
      </w:r>
      <w:r w:rsidR="009E2232">
        <w:rPr>
          <w:rFonts w:ascii="Verdana" w:eastAsia="Times New Roman" w:hAnsi="Verdana"/>
          <w:sz w:val="18"/>
          <w:szCs w:val="18"/>
          <w:lang w:val="es-MX"/>
        </w:rPr>
        <w:t>aquellos</w:t>
      </w:r>
      <w:r w:rsidR="00E83767">
        <w:rPr>
          <w:rFonts w:ascii="Verdana" w:eastAsia="Times New Roman" w:hAnsi="Verdana"/>
          <w:sz w:val="18"/>
          <w:szCs w:val="18"/>
          <w:lang w:val="es-MX"/>
        </w:rPr>
        <w:t xml:space="preserve"> con quien tienen </w:t>
      </w:r>
      <w:r w:rsidR="008212CB">
        <w:rPr>
          <w:rFonts w:ascii="Verdana" w:eastAsia="Times New Roman" w:hAnsi="Verdana"/>
          <w:sz w:val="18"/>
          <w:szCs w:val="18"/>
          <w:lang w:val="es-MX"/>
        </w:rPr>
        <w:t>vínculos</w:t>
      </w:r>
      <w:r w:rsidR="00E83767">
        <w:rPr>
          <w:rFonts w:ascii="Verdana" w:eastAsia="Times New Roman" w:hAnsi="Verdana"/>
          <w:sz w:val="18"/>
          <w:szCs w:val="18"/>
          <w:lang w:val="es-MX"/>
        </w:rPr>
        <w:t xml:space="preserve"> familiar</w:t>
      </w:r>
      <w:r w:rsidR="008212CB">
        <w:rPr>
          <w:rFonts w:ascii="Verdana" w:eastAsia="Times New Roman" w:hAnsi="Verdana"/>
          <w:sz w:val="18"/>
          <w:szCs w:val="18"/>
          <w:lang w:val="es-MX"/>
        </w:rPr>
        <w:t>es</w:t>
      </w:r>
      <w:r w:rsidR="00E83767">
        <w:rPr>
          <w:rFonts w:ascii="Verdana" w:eastAsia="Times New Roman" w:hAnsi="Verdana"/>
          <w:sz w:val="18"/>
          <w:szCs w:val="18"/>
          <w:lang w:val="es-MX"/>
        </w:rPr>
        <w:t xml:space="preserve"> o</w:t>
      </w:r>
      <w:r w:rsidR="009E2232">
        <w:rPr>
          <w:rFonts w:ascii="Verdana" w:eastAsia="Times New Roman" w:hAnsi="Verdana"/>
          <w:sz w:val="18"/>
          <w:szCs w:val="18"/>
          <w:lang w:val="es-MX"/>
        </w:rPr>
        <w:t xml:space="preserve"> comercial, durante su</w:t>
      </w:r>
      <w:r w:rsidR="0023419E">
        <w:rPr>
          <w:rFonts w:ascii="Verdana" w:eastAsia="Times New Roman" w:hAnsi="Verdana"/>
          <w:sz w:val="18"/>
          <w:szCs w:val="18"/>
          <w:lang w:val="es-MX"/>
        </w:rPr>
        <w:t xml:space="preserve"> permanencia o por un año </w:t>
      </w:r>
      <w:r w:rsidR="00641B56">
        <w:rPr>
          <w:rFonts w:ascii="Verdana" w:eastAsia="Times New Roman" w:hAnsi="Verdana"/>
          <w:sz w:val="18"/>
          <w:szCs w:val="18"/>
          <w:lang w:val="es-MX"/>
        </w:rPr>
        <w:t xml:space="preserve">a partir de entonces.  </w:t>
      </w:r>
    </w:p>
    <w:p w14:paraId="071917EC" w14:textId="0434C239" w:rsidR="00800A3B" w:rsidRPr="008212CB" w:rsidRDefault="00800A3B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8212CB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68B75F3F" w14:textId="77777777" w:rsidR="008428FD" w:rsidRPr="008212CB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5DCDDBA9" w14:textId="79FFF97A" w:rsidR="008B5EE7" w:rsidRPr="00FB072E" w:rsidRDefault="00FC7553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FB072E">
        <w:rPr>
          <w:rFonts w:ascii="Verdana" w:eastAsia="Times New Roman" w:hAnsi="Verdana"/>
          <w:sz w:val="18"/>
          <w:szCs w:val="18"/>
          <w:lang w:val="es-MX"/>
        </w:rPr>
        <w:t xml:space="preserve">La </w:t>
      </w:r>
      <w:r w:rsidR="008212CB" w:rsidRPr="00FB072E">
        <w:rPr>
          <w:rFonts w:ascii="Verdana" w:eastAsia="Times New Roman" w:hAnsi="Verdana"/>
          <w:sz w:val="18"/>
          <w:szCs w:val="18"/>
          <w:lang w:val="es-MX"/>
        </w:rPr>
        <w:t>política</w:t>
      </w:r>
      <w:r w:rsidRPr="00FB072E">
        <w:rPr>
          <w:rFonts w:ascii="Verdana" w:eastAsia="Times New Roman" w:hAnsi="Verdana"/>
          <w:sz w:val="18"/>
          <w:szCs w:val="18"/>
          <w:lang w:val="es-MX"/>
        </w:rPr>
        <w:t xml:space="preserve"> del </w:t>
      </w:r>
      <w:r w:rsidR="008212CB" w:rsidRPr="00FB072E">
        <w:rPr>
          <w:rFonts w:ascii="Verdana" w:eastAsia="Times New Roman" w:hAnsi="Verdana"/>
          <w:sz w:val="18"/>
          <w:szCs w:val="18"/>
          <w:lang w:val="es-MX"/>
        </w:rPr>
        <w:t>Departamento</w:t>
      </w:r>
      <w:r w:rsidRPr="00FB072E">
        <w:rPr>
          <w:rFonts w:ascii="Verdana" w:eastAsia="Times New Roman" w:hAnsi="Verdana"/>
          <w:sz w:val="18"/>
          <w:szCs w:val="18"/>
          <w:lang w:val="es-MX"/>
        </w:rPr>
        <w:t xml:space="preserve"> de </w:t>
      </w:r>
      <w:r w:rsidR="00391BF3" w:rsidRPr="00FB072E">
        <w:rPr>
          <w:rFonts w:ascii="Verdana" w:eastAsia="Times New Roman" w:hAnsi="Verdana"/>
          <w:sz w:val="18"/>
          <w:szCs w:val="18"/>
          <w:lang w:val="es-MX"/>
        </w:rPr>
        <w:t>Plani</w:t>
      </w:r>
      <w:r w:rsidRPr="00FB072E">
        <w:rPr>
          <w:rFonts w:ascii="Verdana" w:eastAsia="Times New Roman" w:hAnsi="Verdana"/>
          <w:sz w:val="18"/>
          <w:szCs w:val="18"/>
          <w:lang w:val="es-MX"/>
        </w:rPr>
        <w:t>ficación y Desarrollo es administr</w:t>
      </w:r>
      <w:r w:rsidR="009501F0" w:rsidRPr="00FB072E">
        <w:rPr>
          <w:rFonts w:ascii="Verdana" w:eastAsia="Times New Roman" w:hAnsi="Verdana"/>
          <w:sz w:val="18"/>
          <w:szCs w:val="18"/>
          <w:lang w:val="es-MX"/>
        </w:rPr>
        <w:t xml:space="preserve">ar este </w:t>
      </w:r>
      <w:r w:rsidRPr="00FB072E">
        <w:rPr>
          <w:rFonts w:ascii="Verdana" w:eastAsia="Times New Roman" w:hAnsi="Verdana"/>
          <w:sz w:val="18"/>
          <w:szCs w:val="18"/>
          <w:lang w:val="es-MX"/>
        </w:rPr>
        <w:t>pro</w:t>
      </w:r>
      <w:r w:rsidR="00391BF3" w:rsidRPr="00FB072E">
        <w:rPr>
          <w:rFonts w:ascii="Verdana" w:eastAsia="Times New Roman" w:hAnsi="Verdana"/>
          <w:sz w:val="18"/>
          <w:szCs w:val="18"/>
          <w:lang w:val="es-MX"/>
        </w:rPr>
        <w:t>g</w:t>
      </w:r>
      <w:r w:rsidRPr="00FB072E">
        <w:rPr>
          <w:rFonts w:ascii="Verdana" w:eastAsia="Times New Roman" w:hAnsi="Verdana"/>
          <w:sz w:val="18"/>
          <w:szCs w:val="18"/>
          <w:lang w:val="es-MX"/>
        </w:rPr>
        <w:t xml:space="preserve">rama de la manera más eficaz </w:t>
      </w:r>
      <w:r w:rsidR="008212CB" w:rsidRPr="00FB072E">
        <w:rPr>
          <w:rFonts w:ascii="Verdana" w:eastAsia="Times New Roman" w:hAnsi="Verdana"/>
          <w:sz w:val="18"/>
          <w:szCs w:val="18"/>
          <w:lang w:val="es-MX"/>
        </w:rPr>
        <w:t>posible</w:t>
      </w:r>
      <w:r w:rsidR="00490AE7" w:rsidRPr="00FB072E">
        <w:rPr>
          <w:rFonts w:ascii="Verdana" w:eastAsia="Times New Roman" w:hAnsi="Verdana"/>
          <w:sz w:val="18"/>
          <w:szCs w:val="18"/>
          <w:lang w:val="es-MX"/>
        </w:rPr>
        <w:t xml:space="preserve"> sin tener en cuenta raza, color, credo, </w:t>
      </w:r>
      <w:r w:rsidR="008212CB" w:rsidRPr="00FB072E">
        <w:rPr>
          <w:rFonts w:ascii="Verdana" w:eastAsia="Times New Roman" w:hAnsi="Verdana"/>
          <w:sz w:val="18"/>
          <w:szCs w:val="18"/>
          <w:lang w:val="es-MX"/>
        </w:rPr>
        <w:t>religión</w:t>
      </w:r>
      <w:r w:rsidR="00490AE7" w:rsidRPr="00FB072E">
        <w:rPr>
          <w:rFonts w:ascii="Verdana" w:eastAsia="Times New Roman" w:hAnsi="Verdana"/>
          <w:sz w:val="18"/>
          <w:szCs w:val="18"/>
          <w:lang w:val="es-MX"/>
        </w:rPr>
        <w:t>, orige</w:t>
      </w:r>
      <w:r w:rsidR="001666DA" w:rsidRPr="00FB072E">
        <w:rPr>
          <w:rFonts w:ascii="Verdana" w:eastAsia="Times New Roman" w:hAnsi="Verdana"/>
          <w:sz w:val="18"/>
          <w:szCs w:val="18"/>
          <w:lang w:val="es-MX"/>
        </w:rPr>
        <w:t xml:space="preserve">n nacional, </w:t>
      </w:r>
      <w:r w:rsidR="00020B00" w:rsidRPr="00FB072E">
        <w:rPr>
          <w:rFonts w:ascii="Verdana" w:eastAsia="Times New Roman" w:hAnsi="Verdana"/>
          <w:sz w:val="18"/>
          <w:szCs w:val="18"/>
          <w:lang w:val="es-MX"/>
        </w:rPr>
        <w:t>ascendencia, sexo, edad, hijos, estado conyugal, orientación sexual, discapacidad, asistencia social o esta</w:t>
      </w:r>
      <w:r w:rsidR="00FB072E" w:rsidRPr="00FB072E">
        <w:rPr>
          <w:rFonts w:ascii="Verdana" w:eastAsia="Times New Roman" w:hAnsi="Verdana"/>
          <w:sz w:val="18"/>
          <w:szCs w:val="18"/>
          <w:lang w:val="es-MX"/>
        </w:rPr>
        <w:t xml:space="preserve">tus de subsidio de alquiler. </w:t>
      </w:r>
      <w:r w:rsidR="00FB072E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391BF3" w:rsidRPr="00FB072E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3D70D230" w14:textId="77777777" w:rsidR="00263F56" w:rsidRPr="00FB072E" w:rsidRDefault="00263F56" w:rsidP="008428FD">
      <w:pPr>
        <w:spacing w:after="0" w:line="240" w:lineRule="auto"/>
        <w:rPr>
          <w:rFonts w:ascii="Verdana" w:eastAsia="Times New Roman" w:hAnsi="Verdana"/>
          <w:b/>
          <w:i/>
          <w:sz w:val="18"/>
          <w:szCs w:val="18"/>
          <w:lang w:val="es-MX"/>
        </w:rPr>
      </w:pPr>
    </w:p>
    <w:p w14:paraId="2C3C5594" w14:textId="5A556BE6" w:rsidR="00C51DF7" w:rsidRPr="00644BD4" w:rsidRDefault="00FB072E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  <w:r w:rsidRPr="00644BD4">
        <w:rPr>
          <w:rFonts w:ascii="Verdana" w:eastAsia="Times New Roman" w:hAnsi="Verdana"/>
          <w:b/>
          <w:sz w:val="18"/>
          <w:szCs w:val="18"/>
          <w:lang w:val="es-MX"/>
        </w:rPr>
        <w:t>Se brindan los siguientes tipos de ayuda:</w:t>
      </w:r>
    </w:p>
    <w:p w14:paraId="21ABD5F3" w14:textId="1E2A77E4" w:rsidR="008428FD" w:rsidRPr="00D601E8" w:rsidRDefault="00D601E8" w:rsidP="008428FD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val="es-MX"/>
        </w:rPr>
      </w:pPr>
      <w:r w:rsidRPr="00D601E8">
        <w:rPr>
          <w:rFonts w:ascii="Verdana" w:eastAsia="Times New Roman" w:hAnsi="Verdana"/>
          <w:i/>
          <w:sz w:val="18"/>
          <w:szCs w:val="18"/>
          <w:lang w:val="es-MX"/>
        </w:rPr>
        <w:t>Prestamos sin interes</w:t>
      </w:r>
      <w:r w:rsidR="00113EE0">
        <w:rPr>
          <w:rFonts w:ascii="Verdana" w:eastAsia="Times New Roman" w:hAnsi="Verdana"/>
          <w:i/>
          <w:sz w:val="18"/>
          <w:szCs w:val="18"/>
          <w:lang w:val="es-MX"/>
        </w:rPr>
        <w:t>es</w:t>
      </w:r>
      <w:r w:rsidRPr="00D601E8">
        <w:rPr>
          <w:rFonts w:ascii="Verdana" w:eastAsia="Times New Roman" w:hAnsi="Verdana"/>
          <w:i/>
          <w:sz w:val="18"/>
          <w:szCs w:val="18"/>
          <w:lang w:val="es-MX"/>
        </w:rPr>
        <w:t xml:space="preserve"> de pagos </w:t>
      </w:r>
      <w:r>
        <w:rPr>
          <w:rFonts w:ascii="Verdana" w:eastAsia="Times New Roman" w:hAnsi="Verdana"/>
          <w:i/>
          <w:sz w:val="18"/>
          <w:szCs w:val="18"/>
          <w:lang w:val="es-MX"/>
        </w:rPr>
        <w:t>aplazados</w:t>
      </w:r>
    </w:p>
    <w:p w14:paraId="583B942E" w14:textId="7A22E393" w:rsidR="008428FD" w:rsidRPr="006563D7" w:rsidRDefault="00113EE0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113EE0">
        <w:rPr>
          <w:rFonts w:ascii="Verdana" w:eastAsia="Times New Roman" w:hAnsi="Verdana"/>
          <w:sz w:val="18"/>
          <w:szCs w:val="18"/>
          <w:lang w:val="es-MX"/>
        </w:rPr>
        <w:t xml:space="preserve">Los propietarios de viviendas que </w:t>
      </w:r>
      <w:r w:rsidR="008212CB" w:rsidRPr="00113EE0">
        <w:rPr>
          <w:rFonts w:ascii="Verdana" w:eastAsia="Times New Roman" w:hAnsi="Verdana"/>
          <w:sz w:val="18"/>
          <w:szCs w:val="18"/>
          <w:lang w:val="es-MX"/>
        </w:rPr>
        <w:t>cumplan</w:t>
      </w:r>
      <w:r w:rsidRPr="00113EE0">
        <w:rPr>
          <w:rFonts w:ascii="Verdana" w:eastAsia="Times New Roman" w:hAnsi="Verdana"/>
          <w:sz w:val="18"/>
          <w:szCs w:val="18"/>
          <w:lang w:val="es-MX"/>
        </w:rPr>
        <w:t xml:space="preserve"> con los </w:t>
      </w:r>
      <w:r w:rsidR="008212CB" w:rsidRPr="00113EE0">
        <w:rPr>
          <w:rFonts w:ascii="Verdana" w:eastAsia="Times New Roman" w:hAnsi="Verdana"/>
          <w:sz w:val="18"/>
          <w:szCs w:val="18"/>
          <w:lang w:val="es-MX"/>
        </w:rPr>
        <w:t>requisitos</w:t>
      </w:r>
      <w:r w:rsidRPr="00113EE0">
        <w:rPr>
          <w:rFonts w:ascii="Verdana" w:eastAsia="Times New Roman" w:hAnsi="Verdana"/>
          <w:sz w:val="18"/>
          <w:szCs w:val="18"/>
          <w:lang w:val="es-MX"/>
        </w:rPr>
        <w:t xml:space="preserve"> pueden solicitar ayuda</w:t>
      </w:r>
      <w:r w:rsidR="002676FA">
        <w:rPr>
          <w:rFonts w:ascii="Verdana" w:eastAsia="Times New Roman" w:hAnsi="Verdana"/>
          <w:sz w:val="18"/>
          <w:szCs w:val="18"/>
          <w:lang w:val="es-MX"/>
        </w:rPr>
        <w:t xml:space="preserve"> para la financiación 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de </w:t>
      </w:r>
      <w:r w:rsidR="004C60F9">
        <w:rPr>
          <w:rFonts w:ascii="Verdana" w:eastAsia="Times New Roman" w:hAnsi="Verdana"/>
          <w:sz w:val="18"/>
          <w:szCs w:val="18"/>
          <w:lang w:val="es-MX"/>
        </w:rPr>
        <w:t>préstamos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sin intereses de pago aplazado</w:t>
      </w:r>
      <w:r w:rsidR="003F7E56">
        <w:rPr>
          <w:rFonts w:ascii="Verdana" w:eastAsia="Times New Roman" w:hAnsi="Verdana"/>
          <w:sz w:val="18"/>
          <w:szCs w:val="18"/>
          <w:lang w:val="es-MX"/>
        </w:rPr>
        <w:t xml:space="preserve"> para la rehabilitación de estructuras de 1 a 4 unidades.  </w:t>
      </w:r>
      <w:r w:rsidR="00EF7D85" w:rsidRPr="006563D7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00B09ECD" w14:textId="77777777" w:rsidR="00A12FFB" w:rsidRPr="006563D7" w:rsidRDefault="00A12FFB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12C8DC24" w14:textId="7A702F58" w:rsidR="008428FD" w:rsidRDefault="006563D7" w:rsidP="00A6498E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8F2A74">
        <w:rPr>
          <w:rFonts w:ascii="Verdana" w:eastAsia="Times New Roman" w:hAnsi="Verdana"/>
          <w:sz w:val="18"/>
          <w:szCs w:val="18"/>
          <w:lang w:val="es-MX"/>
        </w:rPr>
        <w:t>El préstamo e</w:t>
      </w:r>
      <w:r w:rsidR="006452B4" w:rsidRPr="008F2A74">
        <w:rPr>
          <w:rFonts w:ascii="Verdana" w:eastAsia="Times New Roman" w:hAnsi="Verdana"/>
          <w:sz w:val="18"/>
          <w:szCs w:val="18"/>
          <w:lang w:val="es-MX"/>
        </w:rPr>
        <w:t>s de 0</w:t>
      </w:r>
      <w:r w:rsidR="008F2A74" w:rsidRPr="008F2A74">
        <w:rPr>
          <w:rFonts w:ascii="Verdana" w:eastAsia="Times New Roman" w:hAnsi="Verdana"/>
          <w:sz w:val="18"/>
          <w:szCs w:val="18"/>
          <w:lang w:val="es-MX"/>
        </w:rPr>
        <w:t>%, sin pagos obligatorios ni recargos durante la vi</w:t>
      </w:r>
      <w:r w:rsidR="008F2A74">
        <w:rPr>
          <w:rFonts w:ascii="Verdana" w:eastAsia="Times New Roman" w:hAnsi="Verdana"/>
          <w:sz w:val="18"/>
          <w:szCs w:val="18"/>
          <w:lang w:val="es-MX"/>
        </w:rPr>
        <w:t>da del préstamo</w:t>
      </w:r>
      <w:r w:rsidR="002A4F95">
        <w:rPr>
          <w:rFonts w:ascii="Verdana" w:eastAsia="Times New Roman" w:hAnsi="Verdana"/>
          <w:sz w:val="18"/>
          <w:szCs w:val="18"/>
          <w:lang w:val="es-MX"/>
        </w:rPr>
        <w:t xml:space="preserve">.  </w:t>
      </w:r>
      <w:r w:rsidR="002A4F95" w:rsidRPr="007F3DC5">
        <w:rPr>
          <w:rFonts w:ascii="Verdana" w:eastAsia="Times New Roman" w:hAnsi="Verdana"/>
          <w:sz w:val="18"/>
          <w:szCs w:val="18"/>
          <w:lang w:val="es-MX"/>
        </w:rPr>
        <w:t>El plazo del préstamo es d</w:t>
      </w:r>
      <w:r w:rsidR="00EE572C" w:rsidRPr="007F3DC5">
        <w:rPr>
          <w:rFonts w:ascii="Verdana" w:eastAsia="Times New Roman" w:hAnsi="Verdana"/>
          <w:sz w:val="18"/>
          <w:szCs w:val="18"/>
          <w:lang w:val="es-MX"/>
        </w:rPr>
        <w:t xml:space="preserve">e 15 años, momento en el que se </w:t>
      </w:r>
      <w:r w:rsidR="007F3DC5" w:rsidRPr="007F3DC5">
        <w:rPr>
          <w:rFonts w:ascii="Verdana" w:eastAsia="Times New Roman" w:hAnsi="Verdana"/>
          <w:sz w:val="18"/>
          <w:szCs w:val="18"/>
          <w:lang w:val="es-MX"/>
        </w:rPr>
        <w:t>condo</w:t>
      </w:r>
      <w:r w:rsidR="007F3DC5">
        <w:rPr>
          <w:rFonts w:ascii="Verdana" w:eastAsia="Times New Roman" w:hAnsi="Verdana"/>
          <w:sz w:val="18"/>
          <w:szCs w:val="18"/>
          <w:lang w:val="es-MX"/>
        </w:rPr>
        <w:t>na</w:t>
      </w:r>
      <w:r w:rsidR="00BE4500">
        <w:rPr>
          <w:rFonts w:ascii="Verdana" w:eastAsia="Times New Roman" w:hAnsi="Verdana"/>
          <w:sz w:val="18"/>
          <w:szCs w:val="18"/>
          <w:lang w:val="es-MX"/>
        </w:rPr>
        <w:t>rá</w:t>
      </w:r>
      <w:r w:rsidR="007F3DC5">
        <w:rPr>
          <w:rFonts w:ascii="Verdana" w:eastAsia="Times New Roman" w:hAnsi="Verdana"/>
          <w:sz w:val="18"/>
          <w:szCs w:val="18"/>
          <w:lang w:val="es-MX"/>
        </w:rPr>
        <w:t xml:space="preserve"> el préstamo y </w:t>
      </w:r>
      <w:r w:rsidR="006A00F8">
        <w:rPr>
          <w:rFonts w:ascii="Verdana" w:eastAsia="Times New Roman" w:hAnsi="Verdana"/>
          <w:sz w:val="18"/>
          <w:szCs w:val="18"/>
          <w:lang w:val="es-MX"/>
        </w:rPr>
        <w:t xml:space="preserve">no se requiere hacer ningún pago.  </w:t>
      </w:r>
      <w:r w:rsidR="006A00F8" w:rsidRPr="00936949">
        <w:rPr>
          <w:rFonts w:ascii="Verdana" w:eastAsia="Times New Roman" w:hAnsi="Verdana"/>
          <w:sz w:val="18"/>
          <w:szCs w:val="18"/>
          <w:lang w:val="es-MX"/>
        </w:rPr>
        <w:t xml:space="preserve">Si la vivienda se vende o </w:t>
      </w:r>
      <w:r w:rsidR="00936949" w:rsidRPr="00936949">
        <w:rPr>
          <w:rFonts w:ascii="Verdana" w:eastAsia="Times New Roman" w:hAnsi="Verdana"/>
          <w:sz w:val="18"/>
          <w:szCs w:val="18"/>
          <w:lang w:val="es-MX"/>
        </w:rPr>
        <w:t>transferida durante la v</w:t>
      </w:r>
      <w:r w:rsidR="00936949">
        <w:rPr>
          <w:rFonts w:ascii="Verdana" w:eastAsia="Times New Roman" w:hAnsi="Verdana"/>
          <w:sz w:val="18"/>
          <w:szCs w:val="18"/>
          <w:lang w:val="es-MX"/>
        </w:rPr>
        <w:t xml:space="preserve">igencia del préstamo, </w:t>
      </w:r>
      <w:r w:rsidR="00D07B1F">
        <w:rPr>
          <w:rFonts w:ascii="Verdana" w:eastAsia="Times New Roman" w:hAnsi="Verdana"/>
          <w:sz w:val="18"/>
          <w:szCs w:val="18"/>
          <w:lang w:val="es-MX"/>
        </w:rPr>
        <w:t xml:space="preserve">la amortización se basa en la condonación de 1/15 del total </w:t>
      </w:r>
      <w:r w:rsidR="00992AAF">
        <w:rPr>
          <w:rFonts w:ascii="Verdana" w:eastAsia="Times New Roman" w:hAnsi="Verdana"/>
          <w:sz w:val="18"/>
          <w:szCs w:val="18"/>
          <w:lang w:val="es-MX"/>
        </w:rPr>
        <w:t xml:space="preserve">cada año.  </w:t>
      </w:r>
      <w:r w:rsidR="00522CDA">
        <w:rPr>
          <w:rFonts w:ascii="Verdana" w:eastAsia="Times New Roman" w:hAnsi="Verdana"/>
          <w:sz w:val="18"/>
          <w:szCs w:val="18"/>
          <w:lang w:val="es-MX"/>
        </w:rPr>
        <w:t xml:space="preserve">Después del decimoquinto año se condona el préstamo.  Los prestamos están garantizados por medio de un contrato </w:t>
      </w:r>
      <w:r w:rsidR="00A6498E">
        <w:rPr>
          <w:rFonts w:ascii="Verdana" w:eastAsia="Times New Roman" w:hAnsi="Verdana"/>
          <w:sz w:val="18"/>
          <w:szCs w:val="18"/>
          <w:lang w:val="es-MX"/>
        </w:rPr>
        <w:t xml:space="preserve">hipotecario ordinario.  </w:t>
      </w:r>
    </w:p>
    <w:p w14:paraId="0ACA0D54" w14:textId="77777777" w:rsidR="00A6498E" w:rsidRDefault="00A6498E" w:rsidP="00A6498E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0BDFF72A" w14:textId="1FC61C00" w:rsidR="00A6498E" w:rsidRPr="00A6498E" w:rsidRDefault="00A6498E" w:rsidP="00A6498E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>
        <w:rPr>
          <w:rFonts w:ascii="Verdana" w:eastAsia="Times New Roman" w:hAnsi="Verdana"/>
          <w:sz w:val="18"/>
          <w:szCs w:val="18"/>
          <w:lang w:val="es-MX"/>
        </w:rPr>
        <w:t xml:space="preserve">El proceso de postulación </w:t>
      </w:r>
      <w:r w:rsidR="00CC3E05">
        <w:rPr>
          <w:rFonts w:ascii="Verdana" w:eastAsia="Times New Roman" w:hAnsi="Verdana"/>
          <w:sz w:val="18"/>
          <w:szCs w:val="18"/>
          <w:lang w:val="es-MX"/>
        </w:rPr>
        <w:t>suele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toma</w:t>
      </w:r>
      <w:r w:rsidR="00CC3E05">
        <w:rPr>
          <w:rFonts w:ascii="Verdana" w:eastAsia="Times New Roman" w:hAnsi="Verdana"/>
          <w:sz w:val="18"/>
          <w:szCs w:val="18"/>
          <w:lang w:val="es-MX"/>
        </w:rPr>
        <w:t>r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F06E74">
        <w:rPr>
          <w:rFonts w:ascii="Verdana" w:eastAsia="Times New Roman" w:hAnsi="Verdana"/>
          <w:sz w:val="18"/>
          <w:szCs w:val="18"/>
          <w:lang w:val="es-MX"/>
        </w:rPr>
        <w:t>de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tres </w:t>
      </w:r>
      <w:r w:rsidR="00F06E74">
        <w:rPr>
          <w:rFonts w:ascii="Verdana" w:eastAsia="Times New Roman" w:hAnsi="Verdana"/>
          <w:sz w:val="18"/>
          <w:szCs w:val="18"/>
          <w:lang w:val="es-MX"/>
        </w:rPr>
        <w:t>a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cinco semanas en comp</w:t>
      </w:r>
      <w:r w:rsidR="00F06E74">
        <w:rPr>
          <w:rFonts w:ascii="Verdana" w:eastAsia="Times New Roman" w:hAnsi="Verdana"/>
          <w:sz w:val="18"/>
          <w:szCs w:val="18"/>
          <w:lang w:val="es-MX"/>
        </w:rPr>
        <w:t xml:space="preserve">letarse, dependiendo de la competencia de los fondos del programa.  </w:t>
      </w:r>
      <w:r w:rsidR="00862A88">
        <w:rPr>
          <w:rFonts w:ascii="Verdana" w:eastAsia="Times New Roman" w:hAnsi="Verdana"/>
          <w:sz w:val="18"/>
          <w:szCs w:val="18"/>
          <w:lang w:val="es-MX"/>
        </w:rPr>
        <w:t xml:space="preserve">El premio y la aceptación dependen de la financiación de la </w:t>
      </w:r>
      <w:r w:rsidR="000C4871">
        <w:rPr>
          <w:rFonts w:ascii="Verdana" w:eastAsia="Times New Roman" w:hAnsi="Verdana"/>
          <w:sz w:val="18"/>
          <w:szCs w:val="18"/>
          <w:lang w:val="es-MX"/>
        </w:rPr>
        <w:t>subvención</w:t>
      </w:r>
      <w:r w:rsidR="00862A88">
        <w:rPr>
          <w:rFonts w:ascii="Verdana" w:eastAsia="Times New Roman" w:hAnsi="Verdana"/>
          <w:sz w:val="18"/>
          <w:szCs w:val="18"/>
          <w:lang w:val="es-MX"/>
        </w:rPr>
        <w:t xml:space="preserve">.  </w:t>
      </w:r>
    </w:p>
    <w:p w14:paraId="3EB2175D" w14:textId="77777777" w:rsidR="008428FD" w:rsidRPr="00A6498E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49AC051C" w14:textId="1163F64C" w:rsidR="008428FD" w:rsidRPr="000C4871" w:rsidRDefault="004E2C37" w:rsidP="008428FD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val="es-MX"/>
        </w:rPr>
      </w:pPr>
      <w:r w:rsidRPr="000C4871">
        <w:rPr>
          <w:rFonts w:ascii="Verdana" w:eastAsia="Times New Roman" w:hAnsi="Verdana"/>
          <w:sz w:val="18"/>
          <w:szCs w:val="18"/>
          <w:lang w:val="es-MX"/>
        </w:rPr>
        <w:t xml:space="preserve">  </w:t>
      </w:r>
      <w:r w:rsidR="00C51DF7" w:rsidRPr="000C4871">
        <w:rPr>
          <w:rFonts w:ascii="Verdana" w:eastAsia="Times New Roman" w:hAnsi="Verdana"/>
          <w:sz w:val="18"/>
          <w:szCs w:val="18"/>
          <w:lang w:val="es-MX"/>
        </w:rPr>
        <w:t xml:space="preserve">   </w:t>
      </w:r>
    </w:p>
    <w:p w14:paraId="674CD36B" w14:textId="10E4F7F9" w:rsidR="008428FD" w:rsidRPr="00644BD4" w:rsidRDefault="000C4871" w:rsidP="008428FD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val="es-MX"/>
        </w:rPr>
      </w:pPr>
      <w:r w:rsidRPr="00644BD4">
        <w:rPr>
          <w:rFonts w:ascii="Verdana" w:eastAsia="Times New Roman" w:hAnsi="Verdana"/>
          <w:i/>
          <w:sz w:val="18"/>
          <w:szCs w:val="18"/>
          <w:lang w:val="es-MX"/>
        </w:rPr>
        <w:t>Rehabilitación Urgente de Vivie</w:t>
      </w:r>
      <w:r w:rsidR="000A61CB" w:rsidRPr="00644BD4">
        <w:rPr>
          <w:rFonts w:ascii="Verdana" w:eastAsia="Times New Roman" w:hAnsi="Verdana"/>
          <w:i/>
          <w:sz w:val="18"/>
          <w:szCs w:val="18"/>
          <w:lang w:val="es-MX"/>
        </w:rPr>
        <w:t>n</w:t>
      </w:r>
      <w:r w:rsidRPr="00644BD4">
        <w:rPr>
          <w:rFonts w:ascii="Verdana" w:eastAsia="Times New Roman" w:hAnsi="Verdana"/>
          <w:i/>
          <w:sz w:val="18"/>
          <w:szCs w:val="18"/>
          <w:lang w:val="es-MX"/>
        </w:rPr>
        <w:t>das</w:t>
      </w:r>
      <w:r w:rsidR="00C51DF7" w:rsidRPr="00644BD4">
        <w:rPr>
          <w:rFonts w:ascii="Verdana" w:eastAsia="Times New Roman" w:hAnsi="Verdana"/>
          <w:i/>
          <w:sz w:val="18"/>
          <w:szCs w:val="18"/>
          <w:lang w:val="es-MX"/>
        </w:rPr>
        <w:t xml:space="preserve"> </w:t>
      </w:r>
    </w:p>
    <w:p w14:paraId="059584A2" w14:textId="769F625C" w:rsidR="00B77A18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B77A18">
        <w:rPr>
          <w:rFonts w:ascii="Verdana" w:eastAsia="Times New Roman" w:hAnsi="Verdana"/>
          <w:sz w:val="18"/>
          <w:szCs w:val="18"/>
          <w:lang w:val="es-MX"/>
        </w:rPr>
        <w:t>A</w:t>
      </w:r>
      <w:r w:rsidR="000A61CB" w:rsidRPr="00B77A18">
        <w:rPr>
          <w:rFonts w:ascii="Verdana" w:eastAsia="Times New Roman" w:hAnsi="Verdana"/>
          <w:sz w:val="18"/>
          <w:szCs w:val="18"/>
          <w:lang w:val="es-MX"/>
        </w:rPr>
        <w:t xml:space="preserve"> discreción del Departamento de Planificación y Desarrollo, los fondos</w:t>
      </w:r>
      <w:r w:rsidR="00B77A18" w:rsidRPr="00B77A18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B77A18">
        <w:rPr>
          <w:rFonts w:ascii="Verdana" w:eastAsia="Times New Roman" w:hAnsi="Verdana"/>
          <w:sz w:val="18"/>
          <w:szCs w:val="18"/>
          <w:lang w:val="es-MX"/>
        </w:rPr>
        <w:t xml:space="preserve">mediante el programa de Rehabilitación </w:t>
      </w:r>
      <w:r w:rsidR="000F260F">
        <w:rPr>
          <w:rFonts w:ascii="Verdana" w:eastAsia="Times New Roman" w:hAnsi="Verdana"/>
          <w:sz w:val="18"/>
          <w:szCs w:val="18"/>
          <w:lang w:val="es-MX"/>
        </w:rPr>
        <w:t>de Viviendas también están dispuestas para la Rehabilitación Urgente de Viviendas</w:t>
      </w:r>
      <w:r w:rsidR="002E351C">
        <w:rPr>
          <w:rFonts w:ascii="Verdana" w:eastAsia="Times New Roman" w:hAnsi="Verdana"/>
          <w:sz w:val="18"/>
          <w:szCs w:val="18"/>
          <w:lang w:val="es-MX"/>
        </w:rPr>
        <w:t xml:space="preserve"> en función de las necesidades, en función de la disponibilidad de fondos. </w:t>
      </w:r>
      <w:r w:rsidR="00032985" w:rsidRPr="00032985">
        <w:rPr>
          <w:rFonts w:ascii="Verdana" w:eastAsia="Times New Roman" w:hAnsi="Verdana"/>
          <w:sz w:val="18"/>
          <w:szCs w:val="18"/>
          <w:lang w:val="es-MX"/>
        </w:rPr>
        <w:t xml:space="preserve">Para determinar lo que </w:t>
      </w:r>
      <w:r w:rsidR="00032985" w:rsidRPr="00032985">
        <w:rPr>
          <w:rFonts w:ascii="Verdana" w:eastAsia="Times New Roman" w:hAnsi="Verdana"/>
          <w:sz w:val="18"/>
          <w:szCs w:val="18"/>
          <w:lang w:val="es-MX"/>
        </w:rPr>
        <w:lastRenderedPageBreak/>
        <w:t>constituye una urgencia, el Departamento d</w:t>
      </w:r>
      <w:r w:rsidR="00032985">
        <w:rPr>
          <w:rFonts w:ascii="Verdana" w:eastAsia="Times New Roman" w:hAnsi="Verdana"/>
          <w:sz w:val="18"/>
          <w:szCs w:val="18"/>
          <w:lang w:val="es-MX"/>
        </w:rPr>
        <w:t xml:space="preserve">e Planificación y Desarrollo, y </w:t>
      </w:r>
      <w:r w:rsidR="00550237">
        <w:rPr>
          <w:rFonts w:ascii="Verdana" w:eastAsia="Times New Roman" w:hAnsi="Verdana"/>
          <w:sz w:val="18"/>
          <w:szCs w:val="18"/>
          <w:lang w:val="es-MX"/>
        </w:rPr>
        <w:t xml:space="preserve">en particular el </w:t>
      </w:r>
      <w:r w:rsidR="00644BD4">
        <w:rPr>
          <w:rFonts w:ascii="Verdana" w:eastAsia="Times New Roman" w:hAnsi="Verdana"/>
          <w:sz w:val="18"/>
          <w:szCs w:val="18"/>
          <w:lang w:val="es-MX"/>
        </w:rPr>
        <w:t>Especialista</w:t>
      </w:r>
      <w:r w:rsidR="00550237">
        <w:rPr>
          <w:rFonts w:ascii="Verdana" w:eastAsia="Times New Roman" w:hAnsi="Verdana"/>
          <w:sz w:val="18"/>
          <w:szCs w:val="18"/>
          <w:lang w:val="es-MX"/>
        </w:rPr>
        <w:t xml:space="preserve"> de Viviendas, </w:t>
      </w:r>
      <w:r w:rsidR="006F2A08">
        <w:rPr>
          <w:rFonts w:ascii="Verdana" w:eastAsia="Times New Roman" w:hAnsi="Verdana"/>
          <w:sz w:val="18"/>
          <w:szCs w:val="18"/>
          <w:lang w:val="es-MX"/>
        </w:rPr>
        <w:t xml:space="preserve">llevarán a cabo una encuesta </w:t>
      </w:r>
      <w:r w:rsidR="005D7016">
        <w:rPr>
          <w:rFonts w:ascii="Verdana" w:eastAsia="Times New Roman" w:hAnsi="Verdana"/>
          <w:sz w:val="18"/>
          <w:szCs w:val="18"/>
          <w:lang w:val="es-MX"/>
        </w:rPr>
        <w:t xml:space="preserve">de la propiedad para </w:t>
      </w:r>
      <w:r w:rsidR="00BD4416">
        <w:rPr>
          <w:rFonts w:ascii="Verdana" w:eastAsia="Times New Roman" w:hAnsi="Verdana"/>
          <w:sz w:val="18"/>
          <w:szCs w:val="18"/>
          <w:lang w:val="es-MX"/>
        </w:rPr>
        <w:t>determinar la inmediatez de l</w:t>
      </w:r>
      <w:r w:rsidR="00080CD1">
        <w:rPr>
          <w:rFonts w:ascii="Verdana" w:eastAsia="Times New Roman" w:hAnsi="Verdana"/>
          <w:sz w:val="18"/>
          <w:szCs w:val="18"/>
          <w:lang w:val="es-MX"/>
        </w:rPr>
        <w:t xml:space="preserve">as obras de rehabilitación de </w:t>
      </w:r>
      <w:r w:rsidR="009C026D">
        <w:rPr>
          <w:rFonts w:ascii="Verdana" w:eastAsia="Times New Roman" w:hAnsi="Verdana"/>
          <w:sz w:val="18"/>
          <w:szCs w:val="18"/>
          <w:lang w:val="es-MX"/>
        </w:rPr>
        <w:t xml:space="preserve">viviendas necesarias.  </w:t>
      </w:r>
    </w:p>
    <w:p w14:paraId="5A665798" w14:textId="28BAD473" w:rsidR="00212531" w:rsidRPr="00644BD4" w:rsidRDefault="009C026D" w:rsidP="00212531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9C026D">
        <w:rPr>
          <w:rFonts w:ascii="Verdana" w:eastAsia="Times New Roman" w:hAnsi="Verdana"/>
          <w:sz w:val="18"/>
          <w:szCs w:val="18"/>
          <w:lang w:val="es-MX"/>
        </w:rPr>
        <w:t>Cada vivienda puede tener u</w:t>
      </w:r>
      <w:r>
        <w:rPr>
          <w:rFonts w:ascii="Verdana" w:eastAsia="Times New Roman" w:hAnsi="Verdana"/>
          <w:sz w:val="18"/>
          <w:szCs w:val="18"/>
          <w:lang w:val="es-MX"/>
        </w:rPr>
        <w:t>na situación única; por ende, puede que algunas urgencias no figuren en la lista ant</w:t>
      </w:r>
      <w:r w:rsidR="00212531">
        <w:rPr>
          <w:rFonts w:ascii="Verdana" w:eastAsia="Times New Roman" w:hAnsi="Verdana"/>
          <w:sz w:val="18"/>
          <w:szCs w:val="18"/>
          <w:lang w:val="es-MX"/>
        </w:rPr>
        <w:t>erior.</w:t>
      </w:r>
    </w:p>
    <w:p w14:paraId="0161593B" w14:textId="33B30E1B" w:rsidR="00273B03" w:rsidRPr="00644BD4" w:rsidRDefault="00273B03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349F7E6A" w14:textId="35CD1CD7" w:rsidR="00C51DF7" w:rsidRPr="00644BD4" w:rsidRDefault="002F1CC5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A </w:t>
      </w:r>
      <w:r w:rsidR="00BB5D8D" w:rsidRPr="00644BD4">
        <w:rPr>
          <w:rFonts w:ascii="Verdana" w:eastAsia="Times New Roman" w:hAnsi="Verdana"/>
          <w:sz w:val="18"/>
          <w:szCs w:val="18"/>
          <w:lang w:val="es-MX"/>
        </w:rPr>
        <w:t>continuación,</w:t>
      </w: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FE3AA2" w:rsidRPr="00644BD4">
        <w:rPr>
          <w:rFonts w:ascii="Verdana" w:eastAsia="Times New Roman" w:hAnsi="Verdana"/>
          <w:sz w:val="18"/>
          <w:szCs w:val="18"/>
          <w:lang w:val="es-MX"/>
        </w:rPr>
        <w:t xml:space="preserve">se ofrecen </w:t>
      </w:r>
      <w:r w:rsidR="006B179A" w:rsidRPr="00644BD4">
        <w:rPr>
          <w:rFonts w:ascii="Verdana" w:eastAsia="Times New Roman" w:hAnsi="Verdana"/>
          <w:sz w:val="18"/>
          <w:szCs w:val="18"/>
          <w:lang w:val="es-MX"/>
        </w:rPr>
        <w:t>algunos</w:t>
      </w: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 ejemplos de lo que</w:t>
      </w:r>
      <w:r w:rsidR="00BE6E58" w:rsidRPr="00644BD4">
        <w:rPr>
          <w:rFonts w:ascii="Verdana" w:eastAsia="Times New Roman" w:hAnsi="Verdana"/>
          <w:sz w:val="18"/>
          <w:szCs w:val="18"/>
          <w:lang w:val="es-MX"/>
        </w:rPr>
        <w:t xml:space="preserve"> este programa </w:t>
      </w: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puede </w:t>
      </w:r>
      <w:r w:rsidR="00FE3AA2" w:rsidRPr="00644BD4">
        <w:rPr>
          <w:rFonts w:ascii="Verdana" w:eastAsia="Times New Roman" w:hAnsi="Verdana"/>
          <w:sz w:val="18"/>
          <w:szCs w:val="18"/>
          <w:lang w:val="es-MX"/>
        </w:rPr>
        <w:t>considerar</w:t>
      </w:r>
      <w:r w:rsidRPr="00644BD4">
        <w:rPr>
          <w:rFonts w:ascii="Verdana" w:eastAsia="Times New Roman" w:hAnsi="Verdana"/>
          <w:sz w:val="18"/>
          <w:szCs w:val="18"/>
          <w:lang w:val="es-MX"/>
        </w:rPr>
        <w:t xml:space="preserve"> una </w:t>
      </w:r>
      <w:r w:rsidR="00FE3AA2" w:rsidRPr="00644BD4">
        <w:rPr>
          <w:rFonts w:ascii="Verdana" w:eastAsia="Times New Roman" w:hAnsi="Verdana"/>
          <w:sz w:val="18"/>
          <w:szCs w:val="18"/>
          <w:lang w:val="es-MX"/>
        </w:rPr>
        <w:t>urgencia:</w:t>
      </w:r>
    </w:p>
    <w:p w14:paraId="65C1668C" w14:textId="197AE975" w:rsidR="00C51DF7" w:rsidRPr="006450B7" w:rsidRDefault="00D9543D" w:rsidP="008428F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6450B7">
        <w:rPr>
          <w:rFonts w:ascii="Verdana" w:eastAsia="Times New Roman" w:hAnsi="Verdana"/>
          <w:sz w:val="18"/>
          <w:szCs w:val="18"/>
          <w:lang w:val="es-MX"/>
        </w:rPr>
        <w:t>Fugas importantes en el tejado con riesgo inmi</w:t>
      </w:r>
      <w:r w:rsidR="006450B7">
        <w:rPr>
          <w:rFonts w:ascii="Verdana" w:eastAsia="Times New Roman" w:hAnsi="Verdana"/>
          <w:sz w:val="18"/>
          <w:szCs w:val="18"/>
          <w:lang w:val="es-MX"/>
        </w:rPr>
        <w:t>n</w:t>
      </w:r>
      <w:r w:rsidR="00261C94" w:rsidRPr="006450B7">
        <w:rPr>
          <w:rFonts w:ascii="Verdana" w:eastAsia="Times New Roman" w:hAnsi="Verdana"/>
          <w:sz w:val="18"/>
          <w:szCs w:val="18"/>
          <w:lang w:val="es-MX"/>
        </w:rPr>
        <w:t xml:space="preserve">ente para la salud y seguridad del o </w:t>
      </w:r>
      <w:r w:rsidR="004C60F9" w:rsidRPr="006450B7">
        <w:rPr>
          <w:rFonts w:ascii="Verdana" w:eastAsia="Times New Roman" w:hAnsi="Verdana"/>
          <w:sz w:val="18"/>
          <w:szCs w:val="18"/>
          <w:lang w:val="es-MX"/>
        </w:rPr>
        <w:t>los habitantes</w:t>
      </w:r>
      <w:r w:rsidR="00261C94" w:rsidRPr="006450B7">
        <w:rPr>
          <w:rFonts w:ascii="Verdana" w:eastAsia="Times New Roman" w:hAnsi="Verdana"/>
          <w:sz w:val="18"/>
          <w:szCs w:val="18"/>
          <w:lang w:val="es-MX"/>
        </w:rPr>
        <w:t>(s)</w:t>
      </w:r>
      <w:r w:rsidR="00C51DF7" w:rsidRPr="006450B7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4787F1FC" w14:textId="7F7472AE" w:rsidR="00C51DF7" w:rsidRPr="00CF2E8A" w:rsidRDefault="00C51DF7" w:rsidP="008428F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CF2E8A">
        <w:rPr>
          <w:rFonts w:ascii="Verdana" w:eastAsia="Times New Roman" w:hAnsi="Verdana"/>
          <w:sz w:val="18"/>
          <w:szCs w:val="18"/>
          <w:lang w:val="es-MX"/>
        </w:rPr>
        <w:t>Mo</w:t>
      </w:r>
      <w:r w:rsidR="00CF2E8A" w:rsidRPr="00CF2E8A">
        <w:rPr>
          <w:rFonts w:ascii="Verdana" w:eastAsia="Times New Roman" w:hAnsi="Verdana"/>
          <w:sz w:val="18"/>
          <w:szCs w:val="18"/>
          <w:lang w:val="es-MX"/>
        </w:rPr>
        <w:t>ho o infestaciones de insectos/r</w:t>
      </w:r>
      <w:r w:rsidR="00CF2E8A">
        <w:rPr>
          <w:rFonts w:ascii="Verdana" w:eastAsia="Times New Roman" w:hAnsi="Verdana"/>
          <w:sz w:val="18"/>
          <w:szCs w:val="18"/>
          <w:lang w:val="es-MX"/>
        </w:rPr>
        <w:t>oedores</w:t>
      </w:r>
      <w:r w:rsidRPr="00CF2E8A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455B2451" w14:textId="7FF1DFE7" w:rsidR="00C51DF7" w:rsidRPr="0057638E" w:rsidRDefault="008212CB" w:rsidP="008428F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57638E">
        <w:rPr>
          <w:rFonts w:ascii="Verdana" w:eastAsia="Times New Roman" w:hAnsi="Verdana"/>
          <w:sz w:val="18"/>
          <w:szCs w:val="18"/>
          <w:lang w:val="es-MX"/>
        </w:rPr>
        <w:t>Pérdida</w:t>
      </w:r>
      <w:r w:rsidR="00C839F2" w:rsidRPr="0057638E">
        <w:rPr>
          <w:rFonts w:ascii="Verdana" w:eastAsia="Times New Roman" w:hAnsi="Verdana"/>
          <w:sz w:val="18"/>
          <w:szCs w:val="18"/>
          <w:lang w:val="es-MX"/>
        </w:rPr>
        <w:t xml:space="preserve"> de calefacción por fal</w:t>
      </w:r>
      <w:r w:rsidR="00E65C83">
        <w:rPr>
          <w:rFonts w:ascii="Verdana" w:eastAsia="Times New Roman" w:hAnsi="Verdana"/>
          <w:sz w:val="18"/>
          <w:szCs w:val="18"/>
          <w:lang w:val="es-MX"/>
        </w:rPr>
        <w:t>lo</w:t>
      </w:r>
      <w:r w:rsidR="00C839F2" w:rsidRPr="0057638E">
        <w:rPr>
          <w:rFonts w:ascii="Verdana" w:eastAsia="Times New Roman" w:hAnsi="Verdana"/>
          <w:sz w:val="18"/>
          <w:szCs w:val="18"/>
          <w:lang w:val="es-MX"/>
        </w:rPr>
        <w:t xml:space="preserve"> de</w:t>
      </w:r>
      <w:r w:rsidR="00E65C83">
        <w:rPr>
          <w:rFonts w:ascii="Verdana" w:eastAsia="Times New Roman" w:hAnsi="Verdana"/>
          <w:sz w:val="18"/>
          <w:szCs w:val="18"/>
          <w:lang w:val="es-MX"/>
        </w:rPr>
        <w:t>l</w:t>
      </w:r>
      <w:r w:rsidR="00C839F2" w:rsidRPr="0057638E">
        <w:rPr>
          <w:rFonts w:ascii="Verdana" w:eastAsia="Times New Roman" w:hAnsi="Verdana"/>
          <w:sz w:val="18"/>
          <w:szCs w:val="18"/>
          <w:lang w:val="es-MX"/>
        </w:rPr>
        <w:t xml:space="preserve"> sistema</w:t>
      </w:r>
      <w:r w:rsidR="00C51DF7" w:rsidRPr="0057638E">
        <w:rPr>
          <w:rFonts w:ascii="Verdana" w:eastAsia="Times New Roman" w:hAnsi="Verdana"/>
          <w:sz w:val="18"/>
          <w:szCs w:val="18"/>
          <w:lang w:val="es-MX"/>
        </w:rPr>
        <w:t xml:space="preserve"> </w:t>
      </w:r>
    </w:p>
    <w:p w14:paraId="3FF418F5" w14:textId="0F3BE637" w:rsidR="00E65C83" w:rsidRPr="00E65C83" w:rsidRDefault="0057638E" w:rsidP="00E65C83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E65C83">
        <w:rPr>
          <w:rFonts w:ascii="Verdana" w:eastAsia="Times New Roman" w:hAnsi="Verdana"/>
          <w:sz w:val="18"/>
          <w:szCs w:val="18"/>
          <w:lang w:val="es-MX"/>
        </w:rPr>
        <w:t>P</w:t>
      </w:r>
      <w:r w:rsidR="008212CB">
        <w:rPr>
          <w:rFonts w:ascii="Verdana" w:eastAsia="Times New Roman" w:hAnsi="Verdana"/>
          <w:sz w:val="18"/>
          <w:szCs w:val="18"/>
          <w:lang w:val="es-MX"/>
        </w:rPr>
        <w:t>é</w:t>
      </w:r>
      <w:r w:rsidRPr="00E65C83">
        <w:rPr>
          <w:rFonts w:ascii="Verdana" w:eastAsia="Times New Roman" w:hAnsi="Verdana"/>
          <w:sz w:val="18"/>
          <w:szCs w:val="18"/>
          <w:lang w:val="es-MX"/>
        </w:rPr>
        <w:t xml:space="preserve">rdida de </w:t>
      </w:r>
      <w:r w:rsidR="00E65C83" w:rsidRPr="00E65C83">
        <w:rPr>
          <w:rFonts w:ascii="Verdana" w:eastAsia="Times New Roman" w:hAnsi="Verdana"/>
          <w:sz w:val="18"/>
          <w:szCs w:val="18"/>
          <w:lang w:val="es-MX"/>
        </w:rPr>
        <w:t>electricidad por f</w:t>
      </w:r>
      <w:r w:rsidR="00E65C83">
        <w:rPr>
          <w:rFonts w:ascii="Verdana" w:eastAsia="Times New Roman" w:hAnsi="Verdana"/>
          <w:sz w:val="18"/>
          <w:szCs w:val="18"/>
          <w:lang w:val="es-MX"/>
        </w:rPr>
        <w:t>allo del sistema</w:t>
      </w:r>
    </w:p>
    <w:p w14:paraId="548D141C" w14:textId="10F8A3EC" w:rsidR="00C51DF7" w:rsidRDefault="0078060A" w:rsidP="008428F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183D8D">
        <w:rPr>
          <w:rFonts w:ascii="Verdana" w:eastAsia="Times New Roman" w:hAnsi="Verdana"/>
          <w:sz w:val="18"/>
          <w:szCs w:val="18"/>
          <w:lang w:val="es-MX"/>
        </w:rPr>
        <w:t xml:space="preserve">Deficiencias de </w:t>
      </w:r>
      <w:r w:rsidR="00726FAB" w:rsidRPr="00183D8D">
        <w:rPr>
          <w:rFonts w:ascii="Verdana" w:eastAsia="Times New Roman" w:hAnsi="Verdana"/>
          <w:sz w:val="18"/>
          <w:szCs w:val="18"/>
          <w:lang w:val="es-MX"/>
        </w:rPr>
        <w:t>fontanería</w:t>
      </w:r>
      <w:r w:rsidRPr="00183D8D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183D8D" w:rsidRPr="00183D8D">
        <w:rPr>
          <w:rFonts w:ascii="Verdana" w:eastAsia="Times New Roman" w:hAnsi="Verdana"/>
          <w:sz w:val="18"/>
          <w:szCs w:val="18"/>
          <w:lang w:val="es-MX"/>
        </w:rPr>
        <w:t>con r</w:t>
      </w:r>
      <w:r w:rsidR="00183D8D">
        <w:rPr>
          <w:rFonts w:ascii="Verdana" w:eastAsia="Times New Roman" w:hAnsi="Verdana"/>
          <w:sz w:val="18"/>
          <w:szCs w:val="18"/>
          <w:lang w:val="es-MX"/>
        </w:rPr>
        <w:t>iesgo para la salud y seguridad de los habitantes</w:t>
      </w:r>
    </w:p>
    <w:p w14:paraId="4EB156F9" w14:textId="502405D3" w:rsidR="00E15C65" w:rsidRPr="00644BD4" w:rsidRDefault="00183D8D" w:rsidP="00E15C65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>
        <w:rPr>
          <w:rFonts w:ascii="Verdana" w:eastAsia="Times New Roman" w:hAnsi="Verdana"/>
          <w:sz w:val="18"/>
          <w:szCs w:val="18"/>
          <w:lang w:val="es-MX"/>
        </w:rPr>
        <w:t xml:space="preserve">Deficiencias estructurales </w:t>
      </w:r>
      <w:r w:rsidR="00E9702A">
        <w:rPr>
          <w:rFonts w:ascii="Verdana" w:eastAsia="Times New Roman" w:hAnsi="Verdana"/>
          <w:sz w:val="18"/>
          <w:szCs w:val="18"/>
          <w:lang w:val="es-MX"/>
        </w:rPr>
        <w:t xml:space="preserve">que hacen </w:t>
      </w:r>
      <w:r w:rsidR="00B82F7C">
        <w:rPr>
          <w:rFonts w:ascii="Verdana" w:eastAsia="Times New Roman" w:hAnsi="Verdana"/>
          <w:sz w:val="18"/>
          <w:szCs w:val="18"/>
          <w:lang w:val="es-MX"/>
        </w:rPr>
        <w:t>que la vivienda sea insegura o inhabitable</w:t>
      </w:r>
    </w:p>
    <w:p w14:paraId="0FD1BB63" w14:textId="2B83585F" w:rsidR="008428FD" w:rsidRPr="00221EAF" w:rsidRDefault="00E15C65" w:rsidP="001B3EB1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  <w:r w:rsidRPr="001B3EB1">
        <w:rPr>
          <w:rFonts w:ascii="Verdana" w:eastAsia="Times New Roman" w:hAnsi="Verdana"/>
          <w:sz w:val="18"/>
          <w:szCs w:val="18"/>
          <w:lang w:val="es-MX"/>
        </w:rPr>
        <w:t xml:space="preserve">Exposición a plomo y/o riesgo de </w:t>
      </w:r>
      <w:r w:rsidR="001B3EB1">
        <w:rPr>
          <w:rFonts w:ascii="Verdana" w:eastAsia="Times New Roman" w:hAnsi="Verdana"/>
          <w:sz w:val="18"/>
          <w:szCs w:val="18"/>
          <w:lang w:val="es-MX"/>
        </w:rPr>
        <w:t>saturnismo (</w:t>
      </w:r>
      <w:r w:rsidR="00104ECF">
        <w:rPr>
          <w:rFonts w:ascii="Verdana" w:eastAsia="Times New Roman" w:hAnsi="Verdana"/>
          <w:sz w:val="18"/>
          <w:szCs w:val="18"/>
          <w:lang w:val="es-MX"/>
        </w:rPr>
        <w:t>Envenenamiento con plomo)</w:t>
      </w:r>
    </w:p>
    <w:p w14:paraId="1D0E9D52" w14:textId="77777777" w:rsidR="00221EAF" w:rsidRPr="00221EAF" w:rsidRDefault="00221EAF" w:rsidP="00221EAF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</w:p>
    <w:p w14:paraId="7C0E8F24" w14:textId="667F87A0" w:rsidR="00D06348" w:rsidRPr="00644BD4" w:rsidRDefault="00124C68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  <w:r w:rsidRPr="00644BD4">
        <w:rPr>
          <w:rFonts w:ascii="Verdana" w:eastAsia="Times New Roman" w:hAnsi="Verdana"/>
          <w:b/>
          <w:sz w:val="18"/>
          <w:szCs w:val="18"/>
          <w:lang w:val="es-MX"/>
        </w:rPr>
        <w:t>¿</w:t>
      </w:r>
      <w:r w:rsidR="00221EAF" w:rsidRPr="00644BD4">
        <w:rPr>
          <w:rFonts w:ascii="Verdana" w:eastAsia="Times New Roman" w:hAnsi="Verdana"/>
          <w:b/>
          <w:sz w:val="18"/>
          <w:szCs w:val="18"/>
          <w:lang w:val="es-MX"/>
        </w:rPr>
        <w:t xml:space="preserve">Como </w:t>
      </w:r>
      <w:r w:rsidR="005B4F95" w:rsidRPr="00644BD4">
        <w:rPr>
          <w:rFonts w:ascii="Verdana" w:eastAsia="Times New Roman" w:hAnsi="Verdana"/>
          <w:b/>
          <w:sz w:val="18"/>
          <w:szCs w:val="18"/>
          <w:lang w:val="es-MX"/>
        </w:rPr>
        <w:t>Puedo Obtener Ayuda</w:t>
      </w:r>
      <w:r w:rsidR="00D06348" w:rsidRPr="00644BD4">
        <w:rPr>
          <w:rFonts w:ascii="Verdana" w:eastAsia="Times New Roman" w:hAnsi="Verdana"/>
          <w:b/>
          <w:sz w:val="18"/>
          <w:szCs w:val="18"/>
          <w:lang w:val="es-MX"/>
        </w:rPr>
        <w:t xml:space="preserve">? </w:t>
      </w:r>
    </w:p>
    <w:p w14:paraId="55965189" w14:textId="61EC814F" w:rsidR="00D06348" w:rsidRPr="008374FF" w:rsidRDefault="004E482F" w:rsidP="00D6121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D46D59">
        <w:rPr>
          <w:rFonts w:ascii="Verdana" w:eastAsia="Times New Roman" w:hAnsi="Verdana"/>
          <w:sz w:val="18"/>
          <w:szCs w:val="18"/>
          <w:lang w:val="es-MX"/>
        </w:rPr>
        <w:t xml:space="preserve">Las solicitudes </w:t>
      </w:r>
      <w:r w:rsidR="003E28B7" w:rsidRPr="00D46D59">
        <w:rPr>
          <w:rFonts w:ascii="Verdana" w:eastAsia="Times New Roman" w:hAnsi="Verdana"/>
          <w:sz w:val="18"/>
          <w:szCs w:val="18"/>
          <w:lang w:val="es-MX"/>
        </w:rPr>
        <w:t>están</w:t>
      </w:r>
      <w:r w:rsidRPr="00D46D59">
        <w:rPr>
          <w:rFonts w:ascii="Verdana" w:eastAsia="Times New Roman" w:hAnsi="Verdana"/>
          <w:sz w:val="18"/>
          <w:szCs w:val="18"/>
          <w:lang w:val="es-MX"/>
        </w:rPr>
        <w:t xml:space="preserve"> disponibles en el </w:t>
      </w:r>
      <w:r w:rsidR="00D46D59" w:rsidRPr="00D46D59">
        <w:rPr>
          <w:rFonts w:ascii="Verdana" w:eastAsia="Times New Roman" w:hAnsi="Verdana"/>
          <w:sz w:val="18"/>
          <w:szCs w:val="18"/>
          <w:lang w:val="es-MX"/>
        </w:rPr>
        <w:t xml:space="preserve">durante los horarios de atención del Ayuntamiento </w:t>
      </w:r>
      <w:r w:rsidRPr="00D46D59">
        <w:rPr>
          <w:rFonts w:ascii="Verdana" w:eastAsia="Times New Roman" w:hAnsi="Verdana"/>
          <w:sz w:val="18"/>
          <w:szCs w:val="18"/>
          <w:lang w:val="es-MX"/>
        </w:rPr>
        <w:t xml:space="preserve">Departamento de Planificación y Desarrollo, </w:t>
      </w:r>
      <w:r w:rsidR="00207249" w:rsidRPr="00D46D59">
        <w:rPr>
          <w:rFonts w:ascii="Verdana" w:eastAsia="Times New Roman" w:hAnsi="Verdana"/>
          <w:sz w:val="18"/>
          <w:szCs w:val="18"/>
          <w:lang w:val="es-MX"/>
        </w:rPr>
        <w:t xml:space="preserve">ubicada en </w:t>
      </w:r>
      <w:r w:rsidR="00D06348" w:rsidRPr="00D46D59">
        <w:rPr>
          <w:rFonts w:ascii="Verdana" w:eastAsia="Times New Roman" w:hAnsi="Verdana"/>
          <w:sz w:val="18"/>
          <w:szCs w:val="18"/>
          <w:lang w:val="es-MX"/>
        </w:rPr>
        <w:t>484 Broadway, Everett City Hall,</w:t>
      </w:r>
      <w:r w:rsidR="003830EB" w:rsidRPr="00D46D59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207249" w:rsidRPr="00D46D59">
        <w:rPr>
          <w:rFonts w:ascii="Verdana" w:eastAsia="Times New Roman" w:hAnsi="Verdana"/>
          <w:sz w:val="18"/>
          <w:szCs w:val="18"/>
          <w:lang w:val="es-MX"/>
        </w:rPr>
        <w:t>Cuarto</w:t>
      </w:r>
      <w:r w:rsidR="003830EB" w:rsidRPr="00D46D59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D06348" w:rsidRPr="00D46D59">
        <w:rPr>
          <w:rFonts w:ascii="Verdana" w:eastAsia="Times New Roman" w:hAnsi="Verdana"/>
          <w:sz w:val="18"/>
          <w:szCs w:val="18"/>
          <w:lang w:val="es-MX"/>
        </w:rPr>
        <w:t>25</w:t>
      </w:r>
      <w:r w:rsidR="00D46D59" w:rsidRPr="00D46D59">
        <w:rPr>
          <w:rFonts w:ascii="Verdana" w:eastAsia="Times New Roman" w:hAnsi="Verdana"/>
          <w:sz w:val="18"/>
          <w:szCs w:val="18"/>
          <w:lang w:val="es-MX"/>
        </w:rPr>
        <w:t xml:space="preserve">. </w:t>
      </w:r>
      <w:r w:rsidR="00D46D59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FF272E" w:rsidRPr="00AA15D5">
        <w:rPr>
          <w:rFonts w:ascii="Verdana" w:eastAsia="Times New Roman" w:hAnsi="Verdana"/>
          <w:sz w:val="18"/>
          <w:szCs w:val="18"/>
          <w:lang w:val="es-MX"/>
        </w:rPr>
        <w:t>La p</w:t>
      </w:r>
      <w:r w:rsidR="007D5E0E" w:rsidRPr="00AA15D5">
        <w:rPr>
          <w:rFonts w:ascii="Verdana" w:eastAsia="Times New Roman" w:hAnsi="Verdana"/>
          <w:sz w:val="18"/>
          <w:szCs w:val="18"/>
          <w:lang w:val="es-MX"/>
        </w:rPr>
        <w:t>articipa</w:t>
      </w:r>
      <w:r w:rsidR="00FF272E" w:rsidRPr="00AA15D5">
        <w:rPr>
          <w:rFonts w:ascii="Verdana" w:eastAsia="Times New Roman" w:hAnsi="Verdana"/>
          <w:sz w:val="18"/>
          <w:szCs w:val="18"/>
          <w:lang w:val="es-MX"/>
        </w:rPr>
        <w:t>c</w:t>
      </w:r>
      <w:r w:rsidR="007D5E0E" w:rsidRPr="00AA15D5">
        <w:rPr>
          <w:rFonts w:ascii="Verdana" w:eastAsia="Times New Roman" w:hAnsi="Verdana"/>
          <w:sz w:val="18"/>
          <w:szCs w:val="18"/>
          <w:lang w:val="es-MX"/>
        </w:rPr>
        <w:t>i</w:t>
      </w:r>
      <w:r w:rsidR="00FF272E" w:rsidRPr="00AA15D5">
        <w:rPr>
          <w:rFonts w:ascii="Verdana" w:eastAsia="Times New Roman" w:hAnsi="Verdana"/>
          <w:sz w:val="18"/>
          <w:szCs w:val="18"/>
          <w:lang w:val="es-MX"/>
        </w:rPr>
        <w:t>ó</w:t>
      </w:r>
      <w:r w:rsidR="007D5E0E" w:rsidRPr="00AA15D5">
        <w:rPr>
          <w:rFonts w:ascii="Verdana" w:eastAsia="Times New Roman" w:hAnsi="Verdana"/>
          <w:sz w:val="18"/>
          <w:szCs w:val="18"/>
          <w:lang w:val="es-MX"/>
        </w:rPr>
        <w:t xml:space="preserve">n </w:t>
      </w:r>
      <w:r w:rsidR="0006457E" w:rsidRPr="00AA15D5">
        <w:rPr>
          <w:rFonts w:ascii="Verdana" w:eastAsia="Times New Roman" w:hAnsi="Verdana"/>
          <w:sz w:val="18"/>
          <w:szCs w:val="18"/>
          <w:lang w:val="es-MX"/>
        </w:rPr>
        <w:t xml:space="preserve">y aceptación </w:t>
      </w:r>
      <w:r w:rsidR="00AA15D5" w:rsidRPr="00AA15D5">
        <w:rPr>
          <w:rFonts w:ascii="Verdana" w:eastAsia="Times New Roman" w:hAnsi="Verdana"/>
          <w:sz w:val="18"/>
          <w:szCs w:val="18"/>
          <w:lang w:val="es-MX"/>
        </w:rPr>
        <w:t xml:space="preserve">al </w:t>
      </w:r>
      <w:r w:rsidR="0006457E" w:rsidRPr="00AA15D5">
        <w:rPr>
          <w:rFonts w:ascii="Verdana" w:eastAsia="Times New Roman" w:hAnsi="Verdana"/>
          <w:sz w:val="18"/>
          <w:szCs w:val="18"/>
          <w:lang w:val="es-MX"/>
        </w:rPr>
        <w:t xml:space="preserve">programa </w:t>
      </w:r>
      <w:r w:rsidR="00AA15D5" w:rsidRPr="00AA15D5">
        <w:rPr>
          <w:rFonts w:ascii="Verdana" w:eastAsia="Times New Roman" w:hAnsi="Verdana"/>
          <w:sz w:val="18"/>
          <w:szCs w:val="18"/>
          <w:lang w:val="es-MX"/>
        </w:rPr>
        <w:t xml:space="preserve">dependen de la </w:t>
      </w:r>
      <w:r w:rsidR="00726FAB" w:rsidRPr="00AA15D5">
        <w:rPr>
          <w:rFonts w:ascii="Verdana" w:eastAsia="Times New Roman" w:hAnsi="Verdana"/>
          <w:sz w:val="18"/>
          <w:szCs w:val="18"/>
          <w:lang w:val="es-MX"/>
        </w:rPr>
        <w:t>financiación</w:t>
      </w:r>
      <w:r w:rsidR="00AA15D5">
        <w:rPr>
          <w:rFonts w:ascii="Verdana" w:eastAsia="Times New Roman" w:hAnsi="Verdana"/>
          <w:sz w:val="18"/>
          <w:szCs w:val="18"/>
          <w:lang w:val="es-MX"/>
        </w:rPr>
        <w:t xml:space="preserve"> de la subvención de </w:t>
      </w:r>
      <w:r w:rsidR="0077052A">
        <w:rPr>
          <w:rFonts w:ascii="Verdana" w:eastAsia="Times New Roman" w:hAnsi="Verdana"/>
          <w:sz w:val="18"/>
          <w:szCs w:val="18"/>
          <w:lang w:val="es-MX"/>
        </w:rPr>
        <w:t>y se concederán</w:t>
      </w:r>
      <w:r w:rsidR="000F2728">
        <w:rPr>
          <w:rFonts w:ascii="Verdana" w:eastAsia="Times New Roman" w:hAnsi="Verdana"/>
          <w:sz w:val="18"/>
          <w:szCs w:val="18"/>
          <w:lang w:val="es-MX"/>
        </w:rPr>
        <w:t xml:space="preserve"> de forma continua</w:t>
      </w:r>
      <w:r w:rsidR="0077052A">
        <w:rPr>
          <w:rFonts w:ascii="Verdana" w:eastAsia="Times New Roman" w:hAnsi="Verdana"/>
          <w:sz w:val="18"/>
          <w:szCs w:val="18"/>
          <w:lang w:val="es-MX"/>
        </w:rPr>
        <w:t xml:space="preserve"> a los propietarios de viviendas que reúnan los requisitos</w:t>
      </w:r>
      <w:r w:rsidR="000F2728">
        <w:rPr>
          <w:rFonts w:ascii="Verdana" w:eastAsia="Times New Roman" w:hAnsi="Verdana"/>
          <w:sz w:val="18"/>
          <w:szCs w:val="18"/>
          <w:lang w:val="es-MX"/>
        </w:rPr>
        <w:t>, dando preferencia a l</w:t>
      </w:r>
      <w:r w:rsidR="00D6121D">
        <w:rPr>
          <w:rFonts w:ascii="Verdana" w:eastAsia="Times New Roman" w:hAnsi="Verdana"/>
          <w:sz w:val="18"/>
          <w:szCs w:val="18"/>
          <w:lang w:val="es-MX"/>
        </w:rPr>
        <w:t xml:space="preserve">as viviendas situadas en la zona de destino.  </w:t>
      </w:r>
      <w:r w:rsidR="007D5E0E" w:rsidRPr="008374FF">
        <w:rPr>
          <w:rFonts w:ascii="Verdana" w:eastAsia="Times New Roman" w:hAnsi="Verdana"/>
          <w:sz w:val="18"/>
          <w:szCs w:val="18"/>
          <w:lang w:val="es-MX"/>
        </w:rPr>
        <w:t xml:space="preserve">     </w:t>
      </w:r>
    </w:p>
    <w:p w14:paraId="02C2DF8C" w14:textId="77777777" w:rsidR="008428FD" w:rsidRPr="008374FF" w:rsidRDefault="008428FD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</w:p>
    <w:p w14:paraId="0906AB1F" w14:textId="6D950671" w:rsidR="007D5E0E" w:rsidRPr="00644BD4" w:rsidRDefault="007D5E0E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  <w:r w:rsidRPr="00644BD4">
        <w:rPr>
          <w:rFonts w:ascii="Verdana" w:eastAsia="Times New Roman" w:hAnsi="Verdana"/>
          <w:b/>
          <w:sz w:val="18"/>
          <w:szCs w:val="18"/>
          <w:lang w:val="es-MX"/>
        </w:rPr>
        <w:t>Requi</w:t>
      </w:r>
      <w:r w:rsidR="008374FF" w:rsidRPr="00644BD4">
        <w:rPr>
          <w:rFonts w:ascii="Verdana" w:eastAsia="Times New Roman" w:hAnsi="Verdana"/>
          <w:b/>
          <w:sz w:val="18"/>
          <w:szCs w:val="18"/>
          <w:lang w:val="es-MX"/>
        </w:rPr>
        <w:t>sitos</w:t>
      </w:r>
      <w:r w:rsidRPr="00644BD4">
        <w:rPr>
          <w:rFonts w:ascii="Verdana" w:eastAsia="Times New Roman" w:hAnsi="Verdana"/>
          <w:b/>
          <w:sz w:val="18"/>
          <w:szCs w:val="18"/>
          <w:lang w:val="es-MX"/>
        </w:rPr>
        <w:t xml:space="preserve"> </w:t>
      </w:r>
    </w:p>
    <w:p w14:paraId="11C57546" w14:textId="4376D257" w:rsidR="00FE44C9" w:rsidRPr="00FE44C9" w:rsidRDefault="008374FF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2007DC">
        <w:rPr>
          <w:rFonts w:ascii="Verdana" w:eastAsia="Times New Roman" w:hAnsi="Verdana"/>
          <w:sz w:val="18"/>
          <w:szCs w:val="18"/>
          <w:lang w:val="es-MX"/>
        </w:rPr>
        <w:t xml:space="preserve">Para </w:t>
      </w:r>
      <w:r w:rsidR="00C16421" w:rsidRPr="002007DC">
        <w:rPr>
          <w:rFonts w:ascii="Verdana" w:eastAsia="Times New Roman" w:hAnsi="Verdana"/>
          <w:sz w:val="18"/>
          <w:szCs w:val="18"/>
          <w:lang w:val="es-MX"/>
        </w:rPr>
        <w:t xml:space="preserve">poder acogerse </w:t>
      </w:r>
      <w:r w:rsidRPr="002007DC">
        <w:rPr>
          <w:rFonts w:ascii="Verdana" w:eastAsia="Times New Roman" w:hAnsi="Verdana"/>
          <w:sz w:val="18"/>
          <w:szCs w:val="18"/>
          <w:lang w:val="es-MX"/>
        </w:rPr>
        <w:t xml:space="preserve">a este programa </w:t>
      </w:r>
      <w:r w:rsidR="00441C88" w:rsidRPr="002007DC">
        <w:rPr>
          <w:rFonts w:ascii="Verdana" w:eastAsia="Times New Roman" w:hAnsi="Verdana"/>
          <w:sz w:val="18"/>
          <w:szCs w:val="18"/>
          <w:lang w:val="es-MX"/>
        </w:rPr>
        <w:t xml:space="preserve">el postulante debe ser el </w:t>
      </w:r>
      <w:r w:rsidR="00AD56DB" w:rsidRPr="002007DC">
        <w:rPr>
          <w:rFonts w:ascii="Verdana" w:eastAsia="Times New Roman" w:hAnsi="Verdana"/>
          <w:sz w:val="18"/>
          <w:szCs w:val="18"/>
          <w:u w:val="single"/>
          <w:lang w:val="es-MX"/>
        </w:rPr>
        <w:t>titular registral</w:t>
      </w:r>
      <w:r w:rsidR="0086618C" w:rsidRPr="002007DC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4C60F9" w:rsidRPr="002007DC">
        <w:rPr>
          <w:rFonts w:ascii="Verdana" w:eastAsia="Times New Roman" w:hAnsi="Verdana"/>
          <w:sz w:val="18"/>
          <w:szCs w:val="18"/>
          <w:lang w:val="es-MX"/>
        </w:rPr>
        <w:t>y los</w:t>
      </w:r>
      <w:r w:rsidR="00C16421" w:rsidRPr="002007DC">
        <w:rPr>
          <w:rFonts w:ascii="Verdana" w:eastAsia="Times New Roman" w:hAnsi="Verdana"/>
          <w:sz w:val="18"/>
          <w:szCs w:val="18"/>
          <w:lang w:val="es-MX"/>
        </w:rPr>
        <w:t xml:space="preserve"> ingresos </w:t>
      </w:r>
      <w:r w:rsidR="00726FAB" w:rsidRPr="002007DC">
        <w:rPr>
          <w:rFonts w:ascii="Verdana" w:eastAsia="Times New Roman" w:hAnsi="Verdana"/>
          <w:sz w:val="18"/>
          <w:szCs w:val="18"/>
          <w:lang w:val="es-MX"/>
        </w:rPr>
        <w:t>totales</w:t>
      </w:r>
      <w:r w:rsidR="00D95A9D" w:rsidRPr="002007DC">
        <w:rPr>
          <w:rFonts w:ascii="Verdana" w:eastAsia="Times New Roman" w:hAnsi="Verdana"/>
          <w:sz w:val="18"/>
          <w:szCs w:val="18"/>
          <w:lang w:val="es-MX"/>
        </w:rPr>
        <w:t xml:space="preserve"> de la ¨unidad familiar¨</w:t>
      </w:r>
      <w:r w:rsidR="00150558" w:rsidRPr="002007DC">
        <w:rPr>
          <w:rFonts w:ascii="Verdana" w:eastAsia="Times New Roman" w:hAnsi="Verdana"/>
          <w:sz w:val="18"/>
          <w:szCs w:val="18"/>
          <w:lang w:val="es-MX"/>
        </w:rPr>
        <w:t xml:space="preserve"> no deben </w:t>
      </w:r>
      <w:r w:rsidR="00726FAB" w:rsidRPr="002007DC">
        <w:rPr>
          <w:rFonts w:ascii="Verdana" w:eastAsia="Times New Roman" w:hAnsi="Verdana"/>
          <w:sz w:val="18"/>
          <w:szCs w:val="18"/>
          <w:lang w:val="es-MX"/>
        </w:rPr>
        <w:t>superar</w:t>
      </w:r>
      <w:r w:rsidR="00150558" w:rsidRPr="002007DC">
        <w:rPr>
          <w:rFonts w:ascii="Verdana" w:eastAsia="Times New Roman" w:hAnsi="Verdana"/>
          <w:sz w:val="18"/>
          <w:szCs w:val="18"/>
          <w:lang w:val="es-MX"/>
        </w:rPr>
        <w:t xml:space="preserve"> los </w:t>
      </w:r>
      <w:r w:rsidR="004C60F9" w:rsidRPr="002007DC">
        <w:rPr>
          <w:rFonts w:ascii="Verdana" w:eastAsia="Times New Roman" w:hAnsi="Verdana"/>
          <w:sz w:val="18"/>
          <w:szCs w:val="18"/>
          <w:lang w:val="es-MX"/>
        </w:rPr>
        <w:t>límites</w:t>
      </w:r>
      <w:r w:rsidR="00150558" w:rsidRPr="002007DC">
        <w:rPr>
          <w:rFonts w:ascii="Verdana" w:eastAsia="Times New Roman" w:hAnsi="Verdana"/>
          <w:sz w:val="18"/>
          <w:szCs w:val="18"/>
          <w:lang w:val="es-MX"/>
        </w:rPr>
        <w:t xml:space="preserve"> de ingresos</w:t>
      </w:r>
      <w:r w:rsidR="003E439D" w:rsidRPr="002007DC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8C75CA" w:rsidRPr="002007DC">
        <w:rPr>
          <w:rFonts w:ascii="Verdana" w:eastAsia="Times New Roman" w:hAnsi="Verdana"/>
          <w:sz w:val="18"/>
          <w:szCs w:val="18"/>
          <w:lang w:val="es-MX"/>
        </w:rPr>
        <w:t xml:space="preserve">que califican expuestos por el Estado para la </w:t>
      </w:r>
      <w:r w:rsidR="00FE44C9" w:rsidRPr="002007DC">
        <w:rPr>
          <w:rFonts w:ascii="Verdana" w:eastAsia="Times New Roman" w:hAnsi="Verdana"/>
          <w:sz w:val="18"/>
          <w:szCs w:val="18"/>
          <w:lang w:val="es-MX"/>
        </w:rPr>
        <w:t>región</w:t>
      </w:r>
      <w:r w:rsidR="008C75CA" w:rsidRPr="002007DC"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47037E" w:rsidRPr="002007DC">
        <w:rPr>
          <w:rFonts w:ascii="Verdana" w:eastAsia="Times New Roman" w:hAnsi="Verdana"/>
          <w:sz w:val="18"/>
          <w:szCs w:val="18"/>
          <w:lang w:val="es-MX"/>
        </w:rPr>
        <w:t>(</w:t>
      </w:r>
      <w:r w:rsidR="00FE44C9" w:rsidRPr="002007DC">
        <w:rPr>
          <w:rFonts w:ascii="Verdana" w:eastAsia="Times New Roman" w:hAnsi="Verdana"/>
          <w:sz w:val="18"/>
          <w:szCs w:val="18"/>
          <w:lang w:val="es-MX"/>
        </w:rPr>
        <w:t>indicados</w:t>
      </w:r>
      <w:r w:rsidR="002007DC" w:rsidRPr="002007DC">
        <w:rPr>
          <w:rFonts w:ascii="Verdana" w:eastAsia="Times New Roman" w:hAnsi="Verdana"/>
          <w:sz w:val="18"/>
          <w:szCs w:val="18"/>
          <w:lang w:val="es-MX"/>
        </w:rPr>
        <w:t xml:space="preserve"> anteriormente).  </w:t>
      </w:r>
      <w:r w:rsidR="002007DC" w:rsidRPr="00FE44C9">
        <w:rPr>
          <w:rFonts w:ascii="Verdana" w:eastAsia="Times New Roman" w:hAnsi="Verdana"/>
          <w:sz w:val="18"/>
          <w:szCs w:val="18"/>
          <w:lang w:val="es-MX"/>
        </w:rPr>
        <w:t xml:space="preserve">Los ingresos </w:t>
      </w:r>
      <w:r w:rsidR="00FE44C9" w:rsidRPr="00FE44C9">
        <w:rPr>
          <w:rFonts w:ascii="Verdana" w:eastAsia="Times New Roman" w:hAnsi="Verdana"/>
          <w:sz w:val="18"/>
          <w:szCs w:val="18"/>
          <w:lang w:val="es-MX"/>
        </w:rPr>
        <w:t>de la unidad familiar se refieren los ingresos</w:t>
      </w:r>
      <w:r w:rsidR="00FE44C9">
        <w:rPr>
          <w:rFonts w:ascii="Verdana" w:eastAsia="Times New Roman" w:hAnsi="Verdana"/>
          <w:sz w:val="18"/>
          <w:szCs w:val="18"/>
          <w:lang w:val="es-MX"/>
        </w:rPr>
        <w:t xml:space="preserve"> anuales </w:t>
      </w:r>
      <w:r w:rsidR="008A139F">
        <w:rPr>
          <w:rFonts w:ascii="Verdana" w:eastAsia="Times New Roman" w:hAnsi="Verdana"/>
          <w:sz w:val="18"/>
          <w:szCs w:val="18"/>
          <w:lang w:val="es-MX"/>
        </w:rPr>
        <w:t xml:space="preserve">brutos </w:t>
      </w:r>
      <w:r w:rsidR="00FE44C9">
        <w:rPr>
          <w:rFonts w:ascii="Verdana" w:eastAsia="Times New Roman" w:hAnsi="Verdana"/>
          <w:sz w:val="18"/>
          <w:szCs w:val="18"/>
          <w:lang w:val="es-MX"/>
        </w:rPr>
        <w:t xml:space="preserve">de TODAS las personas que viven en la unidad de vivienda al momento de solicitar, sin incluir a los estudiantes. </w:t>
      </w:r>
    </w:p>
    <w:p w14:paraId="5FDF6CA6" w14:textId="6A709FE3" w:rsidR="00FE4021" w:rsidRPr="008A139F" w:rsidRDefault="00FE4021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19580978" w14:textId="77777777" w:rsidR="008428FD" w:rsidRPr="008A139F" w:rsidRDefault="008428FD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</w:p>
    <w:p w14:paraId="616FFDBC" w14:textId="4DA1263C" w:rsidR="007D5E0E" w:rsidRPr="00644BD4" w:rsidRDefault="008A139F" w:rsidP="008428FD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val="es-MX"/>
        </w:rPr>
      </w:pPr>
      <w:r w:rsidRPr="00644BD4">
        <w:rPr>
          <w:rFonts w:ascii="Verdana" w:eastAsia="Times New Roman" w:hAnsi="Verdana"/>
          <w:b/>
          <w:sz w:val="18"/>
          <w:szCs w:val="18"/>
          <w:lang w:val="es-MX"/>
        </w:rPr>
        <w:t>Proceso de Postulación</w:t>
      </w:r>
    </w:p>
    <w:p w14:paraId="2065F788" w14:textId="52385E32" w:rsidR="007D5E0E" w:rsidRPr="00B8732F" w:rsidRDefault="00DB63B9" w:rsidP="00F8242B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DB63B9">
        <w:rPr>
          <w:rFonts w:ascii="Verdana" w:eastAsia="Times New Roman" w:hAnsi="Verdana"/>
          <w:sz w:val="18"/>
          <w:szCs w:val="18"/>
          <w:lang w:val="es-MX"/>
        </w:rPr>
        <w:t xml:space="preserve">Todo solicitante debe completar una solicitud y proporcionar documentación de los ingresos de la 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unidad familiar.  </w:t>
      </w:r>
      <w:r w:rsidRPr="00137050">
        <w:rPr>
          <w:rFonts w:ascii="Verdana" w:eastAsia="Times New Roman" w:hAnsi="Verdana"/>
          <w:sz w:val="18"/>
          <w:szCs w:val="18"/>
          <w:lang w:val="es-MX"/>
        </w:rPr>
        <w:t>En el caso de un</w:t>
      </w:r>
      <w:r w:rsidR="00FC23DA" w:rsidRPr="00137050">
        <w:rPr>
          <w:rFonts w:ascii="Verdana" w:eastAsia="Times New Roman" w:hAnsi="Verdana"/>
          <w:sz w:val="18"/>
          <w:szCs w:val="18"/>
          <w:lang w:val="es-MX"/>
        </w:rPr>
        <w:t>a vivienda multifamiliar</w:t>
      </w:r>
      <w:r w:rsidR="00137050" w:rsidRPr="00137050">
        <w:rPr>
          <w:rFonts w:ascii="Verdana" w:eastAsia="Times New Roman" w:hAnsi="Verdana"/>
          <w:sz w:val="18"/>
          <w:szCs w:val="18"/>
          <w:lang w:val="es-MX"/>
        </w:rPr>
        <w:t xml:space="preserve">, los </w:t>
      </w:r>
      <w:r w:rsidR="00137050">
        <w:rPr>
          <w:rFonts w:ascii="Verdana" w:eastAsia="Times New Roman" w:hAnsi="Verdana"/>
          <w:sz w:val="18"/>
          <w:szCs w:val="18"/>
          <w:lang w:val="es-MX"/>
        </w:rPr>
        <w:t xml:space="preserve">inquilinos deben proporcionar </w:t>
      </w:r>
      <w:r w:rsidR="00C30A92">
        <w:rPr>
          <w:rFonts w:ascii="Verdana" w:eastAsia="Times New Roman" w:hAnsi="Verdana"/>
          <w:sz w:val="18"/>
          <w:szCs w:val="18"/>
          <w:lang w:val="es-MX"/>
        </w:rPr>
        <w:t xml:space="preserve">documentación </w:t>
      </w:r>
      <w:r w:rsidR="00B4457E">
        <w:rPr>
          <w:rFonts w:ascii="Verdana" w:eastAsia="Times New Roman" w:hAnsi="Verdana"/>
          <w:sz w:val="18"/>
          <w:szCs w:val="18"/>
          <w:lang w:val="es-MX"/>
        </w:rPr>
        <w:t>de ingresos de todos los arrendatarios qu</w:t>
      </w:r>
      <w:r w:rsidR="007B599D">
        <w:rPr>
          <w:rFonts w:ascii="Verdana" w:eastAsia="Times New Roman" w:hAnsi="Verdana"/>
          <w:sz w:val="18"/>
          <w:szCs w:val="18"/>
          <w:lang w:val="es-MX"/>
        </w:rPr>
        <w:t>e residan en su vivienda.  Se les insta a todos</w:t>
      </w:r>
      <w:r w:rsidR="00CB2A8C">
        <w:rPr>
          <w:rFonts w:ascii="Verdana" w:eastAsia="Times New Roman" w:hAnsi="Verdana"/>
          <w:sz w:val="18"/>
          <w:szCs w:val="18"/>
          <w:lang w:val="es-MX"/>
        </w:rPr>
        <w:t xml:space="preserve"> los postulantes comunicarse con el Departamento de Planificación y Desarrollo antes de </w:t>
      </w:r>
      <w:r w:rsidR="00B8732F">
        <w:rPr>
          <w:rFonts w:ascii="Verdana" w:eastAsia="Times New Roman" w:hAnsi="Verdana"/>
          <w:sz w:val="18"/>
          <w:szCs w:val="18"/>
          <w:lang w:val="es-MX"/>
        </w:rPr>
        <w:t>presentar</w:t>
      </w:r>
      <w:r w:rsidR="00CB2A8C">
        <w:rPr>
          <w:rFonts w:ascii="Verdana" w:eastAsia="Times New Roman" w:hAnsi="Verdana"/>
          <w:sz w:val="18"/>
          <w:szCs w:val="18"/>
          <w:lang w:val="es-MX"/>
        </w:rPr>
        <w:t xml:space="preserve"> su </w:t>
      </w:r>
      <w:r w:rsidR="00F8242B">
        <w:rPr>
          <w:rFonts w:ascii="Verdana" w:eastAsia="Times New Roman" w:hAnsi="Verdana"/>
          <w:sz w:val="18"/>
          <w:szCs w:val="18"/>
          <w:lang w:val="es-MX"/>
        </w:rPr>
        <w:t xml:space="preserve">solicitud para hablar de los requisitos del </w:t>
      </w:r>
      <w:r w:rsidR="00B8732F">
        <w:rPr>
          <w:rFonts w:ascii="Verdana" w:eastAsia="Times New Roman" w:hAnsi="Verdana"/>
          <w:sz w:val="18"/>
          <w:szCs w:val="18"/>
          <w:lang w:val="es-MX"/>
        </w:rPr>
        <w:t>programa</w:t>
      </w:r>
      <w:r w:rsidR="00F8242B">
        <w:rPr>
          <w:rFonts w:ascii="Verdana" w:eastAsia="Times New Roman" w:hAnsi="Verdana"/>
          <w:sz w:val="18"/>
          <w:szCs w:val="18"/>
          <w:lang w:val="es-MX"/>
        </w:rPr>
        <w:t xml:space="preserve">, determinar elegibilidad, y enmarcar el proceso requerido.  </w:t>
      </w:r>
      <w:r w:rsidR="008428FD" w:rsidRPr="00B8732F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02D5D4E8" w14:textId="77777777" w:rsidR="008428FD" w:rsidRPr="00B8732F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60557A1B" w14:textId="5B8133DE" w:rsidR="000223DE" w:rsidRPr="00E64EA2" w:rsidRDefault="00B8732F" w:rsidP="00B1417A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B8732F">
        <w:rPr>
          <w:rFonts w:ascii="Verdana" w:eastAsia="Times New Roman" w:hAnsi="Verdana"/>
          <w:sz w:val="18"/>
          <w:szCs w:val="18"/>
          <w:lang w:val="es-MX"/>
        </w:rPr>
        <w:t>Una vez se determina la elegibilidad p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ara la participación en el programa, </w:t>
      </w:r>
      <w:r w:rsidR="005017DC">
        <w:rPr>
          <w:rFonts w:ascii="Verdana" w:eastAsia="Times New Roman" w:hAnsi="Verdana"/>
          <w:sz w:val="18"/>
          <w:szCs w:val="18"/>
          <w:lang w:val="es-MX"/>
        </w:rPr>
        <w:t xml:space="preserve">un Inspector </w:t>
      </w:r>
      <w:r w:rsidR="00426DAF">
        <w:rPr>
          <w:rFonts w:ascii="Verdana" w:eastAsia="Times New Roman" w:hAnsi="Verdana"/>
          <w:sz w:val="18"/>
          <w:szCs w:val="18"/>
          <w:lang w:val="es-MX"/>
        </w:rPr>
        <w:t xml:space="preserve">de Plomo </w:t>
      </w:r>
      <w:r w:rsidR="005017DC">
        <w:rPr>
          <w:rFonts w:ascii="Verdana" w:eastAsia="Times New Roman" w:hAnsi="Verdana"/>
          <w:sz w:val="18"/>
          <w:szCs w:val="18"/>
          <w:lang w:val="es-MX"/>
        </w:rPr>
        <w:t>Certificado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 </w:t>
      </w:r>
      <w:r w:rsidR="005017DC">
        <w:rPr>
          <w:rFonts w:ascii="Verdana" w:eastAsia="Times New Roman" w:hAnsi="Verdana"/>
          <w:sz w:val="18"/>
          <w:szCs w:val="18"/>
          <w:lang w:val="es-MX"/>
        </w:rPr>
        <w:t>realizará una inspección de la propiedad</w:t>
      </w:r>
      <w:r w:rsidR="00426DAF">
        <w:rPr>
          <w:rFonts w:ascii="Verdana" w:eastAsia="Times New Roman" w:hAnsi="Verdana"/>
          <w:sz w:val="18"/>
          <w:szCs w:val="18"/>
          <w:lang w:val="es-MX"/>
        </w:rPr>
        <w:t xml:space="preserve"> y luego otra por el </w:t>
      </w:r>
      <w:r w:rsidR="00644BD4">
        <w:rPr>
          <w:rFonts w:ascii="Verdana" w:eastAsia="Times New Roman" w:hAnsi="Verdana"/>
          <w:sz w:val="18"/>
          <w:szCs w:val="18"/>
          <w:lang w:val="es-MX"/>
        </w:rPr>
        <w:t>Especialista</w:t>
      </w:r>
      <w:r w:rsidR="00426DAF">
        <w:rPr>
          <w:rFonts w:ascii="Verdana" w:eastAsia="Times New Roman" w:hAnsi="Verdana"/>
          <w:sz w:val="18"/>
          <w:szCs w:val="18"/>
          <w:lang w:val="es-MX"/>
        </w:rPr>
        <w:t xml:space="preserve"> de Rehabilitación de Viviendas</w:t>
      </w:r>
      <w:r w:rsidR="0058571E">
        <w:rPr>
          <w:rFonts w:ascii="Verdana" w:eastAsia="Times New Roman" w:hAnsi="Verdana"/>
          <w:sz w:val="18"/>
          <w:szCs w:val="18"/>
          <w:lang w:val="es-MX"/>
        </w:rPr>
        <w:t xml:space="preserve">. Se </w:t>
      </w:r>
      <w:r w:rsidR="00E64EA2">
        <w:rPr>
          <w:rFonts w:ascii="Verdana" w:eastAsia="Times New Roman" w:hAnsi="Verdana"/>
          <w:sz w:val="18"/>
          <w:szCs w:val="18"/>
          <w:lang w:val="es-MX"/>
        </w:rPr>
        <w:t>a</w:t>
      </w:r>
      <w:r w:rsidR="0058571E">
        <w:rPr>
          <w:rFonts w:ascii="Verdana" w:eastAsia="Times New Roman" w:hAnsi="Verdana"/>
          <w:sz w:val="18"/>
          <w:szCs w:val="18"/>
          <w:lang w:val="es-MX"/>
        </w:rPr>
        <w:t xml:space="preserve">notarán todas las infracciones </w:t>
      </w:r>
      <w:r w:rsidR="00590985">
        <w:rPr>
          <w:rFonts w:ascii="Verdana" w:eastAsia="Times New Roman" w:hAnsi="Verdana"/>
          <w:sz w:val="18"/>
          <w:szCs w:val="18"/>
          <w:lang w:val="es-MX"/>
        </w:rPr>
        <w:t xml:space="preserve">a los códigos en la </w:t>
      </w:r>
      <w:r w:rsidR="00480C38">
        <w:rPr>
          <w:rFonts w:ascii="Verdana" w:eastAsia="Times New Roman" w:hAnsi="Verdana"/>
          <w:sz w:val="18"/>
          <w:szCs w:val="18"/>
          <w:lang w:val="es-MX"/>
        </w:rPr>
        <w:t>finca raíz y deberán ser corregidos, inclu</w:t>
      </w:r>
      <w:r w:rsidR="00F5446A">
        <w:rPr>
          <w:rFonts w:ascii="Verdana" w:eastAsia="Times New Roman" w:hAnsi="Verdana"/>
          <w:sz w:val="18"/>
          <w:szCs w:val="18"/>
          <w:lang w:val="es-MX"/>
        </w:rPr>
        <w:t xml:space="preserve">sive cumplimiento con leyes </w:t>
      </w:r>
      <w:r w:rsidR="00FE06D8">
        <w:rPr>
          <w:rFonts w:ascii="Verdana" w:eastAsia="Times New Roman" w:hAnsi="Verdana"/>
          <w:sz w:val="18"/>
          <w:szCs w:val="18"/>
          <w:lang w:val="es-MX"/>
        </w:rPr>
        <w:t xml:space="preserve">relativas a la exposición al plomo.  </w:t>
      </w:r>
      <w:r w:rsidR="00FE06D8" w:rsidRPr="00FE06D8">
        <w:rPr>
          <w:rFonts w:ascii="Verdana" w:eastAsia="Times New Roman" w:hAnsi="Verdana"/>
          <w:sz w:val="18"/>
          <w:szCs w:val="18"/>
          <w:lang w:val="es-MX"/>
        </w:rPr>
        <w:t>El personal del programa colaborará con el propietario del inmue</w:t>
      </w:r>
      <w:r w:rsidR="00FE06D8">
        <w:rPr>
          <w:rFonts w:ascii="Verdana" w:eastAsia="Times New Roman" w:hAnsi="Verdana"/>
          <w:sz w:val="18"/>
          <w:szCs w:val="18"/>
          <w:lang w:val="es-MX"/>
        </w:rPr>
        <w:t xml:space="preserve">ble para </w:t>
      </w:r>
      <w:r w:rsidR="009C3554">
        <w:rPr>
          <w:rFonts w:ascii="Verdana" w:eastAsia="Times New Roman" w:hAnsi="Verdana"/>
          <w:sz w:val="18"/>
          <w:szCs w:val="18"/>
          <w:lang w:val="es-MX"/>
        </w:rPr>
        <w:t xml:space="preserve">desarrollar un </w:t>
      </w:r>
      <w:r w:rsidR="00EF1F8A">
        <w:rPr>
          <w:rFonts w:ascii="Verdana" w:eastAsia="Times New Roman" w:hAnsi="Verdana"/>
          <w:sz w:val="18"/>
          <w:szCs w:val="18"/>
          <w:lang w:val="es-MX"/>
        </w:rPr>
        <w:t>alcance de trabajo</w:t>
      </w:r>
      <w:r w:rsidR="00CA2DF1">
        <w:rPr>
          <w:rFonts w:ascii="Verdana" w:eastAsia="Times New Roman" w:hAnsi="Verdana"/>
          <w:sz w:val="18"/>
          <w:szCs w:val="18"/>
          <w:lang w:val="es-MX"/>
        </w:rPr>
        <w:t xml:space="preserve"> para abordar los Códigos de </w:t>
      </w:r>
      <w:r w:rsidR="006D15EE">
        <w:rPr>
          <w:rFonts w:ascii="Verdana" w:eastAsia="Times New Roman" w:hAnsi="Verdana"/>
          <w:sz w:val="18"/>
          <w:szCs w:val="18"/>
          <w:lang w:val="es-MX"/>
        </w:rPr>
        <w:t xml:space="preserve">Construcción y de </w:t>
      </w:r>
      <w:r w:rsidR="00B1417A">
        <w:rPr>
          <w:rFonts w:ascii="Verdana" w:eastAsia="Times New Roman" w:hAnsi="Verdana"/>
          <w:sz w:val="18"/>
          <w:szCs w:val="18"/>
          <w:lang w:val="es-MX"/>
        </w:rPr>
        <w:t>Sanidad para garantizar la salud y seguridad de todos los habitantes.</w:t>
      </w:r>
      <w:r w:rsidR="000223DE" w:rsidRPr="00E64EA2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4A3A55FF" w14:textId="77777777" w:rsidR="008428FD" w:rsidRPr="00E64EA2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3B01EF9A" w14:textId="0B806101" w:rsidR="007D5E0E" w:rsidRPr="00C60F61" w:rsidRDefault="00726FAB" w:rsidP="00C60F61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E64EA2">
        <w:rPr>
          <w:rFonts w:ascii="Verdana" w:eastAsia="Times New Roman" w:hAnsi="Verdana"/>
          <w:sz w:val="18"/>
          <w:szCs w:val="18"/>
          <w:lang w:val="es-MX"/>
        </w:rPr>
        <w:t>Después</w:t>
      </w:r>
      <w:r w:rsidR="00E64EA2" w:rsidRPr="00E64EA2">
        <w:rPr>
          <w:rFonts w:ascii="Verdana" w:eastAsia="Times New Roman" w:hAnsi="Verdana"/>
          <w:sz w:val="18"/>
          <w:szCs w:val="18"/>
          <w:lang w:val="es-MX"/>
        </w:rPr>
        <w:t xml:space="preserve"> de la inspección d</w:t>
      </w:r>
      <w:r w:rsidR="00E64EA2">
        <w:rPr>
          <w:rFonts w:ascii="Verdana" w:eastAsia="Times New Roman" w:hAnsi="Verdana"/>
          <w:sz w:val="18"/>
          <w:szCs w:val="18"/>
          <w:lang w:val="es-MX"/>
        </w:rPr>
        <w:t xml:space="preserve">e la vivienda, el </w:t>
      </w:r>
      <w:r w:rsidR="009A4619">
        <w:rPr>
          <w:rFonts w:ascii="Verdana" w:eastAsia="Times New Roman" w:hAnsi="Verdana"/>
          <w:sz w:val="18"/>
          <w:szCs w:val="18"/>
          <w:lang w:val="es-MX"/>
        </w:rPr>
        <w:t xml:space="preserve">Especialista </w:t>
      </w:r>
      <w:r w:rsidR="00E64EA2">
        <w:rPr>
          <w:rFonts w:ascii="Verdana" w:eastAsia="Times New Roman" w:hAnsi="Verdana"/>
          <w:sz w:val="18"/>
          <w:szCs w:val="18"/>
          <w:lang w:val="es-MX"/>
        </w:rPr>
        <w:t>de</w:t>
      </w:r>
      <w:r w:rsidR="009A4619">
        <w:rPr>
          <w:rFonts w:ascii="Verdana" w:eastAsia="Times New Roman" w:hAnsi="Verdana"/>
          <w:sz w:val="18"/>
          <w:szCs w:val="18"/>
          <w:lang w:val="es-MX"/>
        </w:rPr>
        <w:t xml:space="preserve"> la</w:t>
      </w:r>
      <w:r w:rsidR="00E64EA2">
        <w:rPr>
          <w:rFonts w:ascii="Verdana" w:eastAsia="Times New Roman" w:hAnsi="Verdana"/>
          <w:sz w:val="18"/>
          <w:szCs w:val="18"/>
          <w:lang w:val="es-MX"/>
        </w:rPr>
        <w:t xml:space="preserve"> Rehabilitación de Viviendas </w:t>
      </w:r>
      <w:r w:rsidR="00940936">
        <w:rPr>
          <w:rFonts w:ascii="Verdana" w:eastAsia="Times New Roman" w:hAnsi="Verdana"/>
          <w:sz w:val="18"/>
          <w:szCs w:val="18"/>
          <w:lang w:val="es-MX"/>
        </w:rPr>
        <w:t>creará un documento de licitación</w:t>
      </w:r>
      <w:r w:rsidR="0036511B">
        <w:rPr>
          <w:rFonts w:ascii="Verdana" w:eastAsia="Times New Roman" w:hAnsi="Verdana"/>
          <w:sz w:val="18"/>
          <w:szCs w:val="18"/>
          <w:lang w:val="es-MX"/>
        </w:rPr>
        <w:t xml:space="preserve"> en el que se enumerarán </w:t>
      </w:r>
      <w:r w:rsidR="004C60F9">
        <w:rPr>
          <w:rFonts w:ascii="Verdana" w:eastAsia="Times New Roman" w:hAnsi="Verdana"/>
          <w:sz w:val="18"/>
          <w:szCs w:val="18"/>
          <w:lang w:val="es-MX"/>
        </w:rPr>
        <w:t>todos los trabajos aprobados</w:t>
      </w:r>
      <w:r w:rsidR="0036511B">
        <w:rPr>
          <w:rFonts w:ascii="Verdana" w:eastAsia="Times New Roman" w:hAnsi="Verdana"/>
          <w:sz w:val="18"/>
          <w:szCs w:val="18"/>
          <w:lang w:val="es-MX"/>
        </w:rPr>
        <w:t xml:space="preserve"> para la financiación mediante el programa con costos estimados.  </w:t>
      </w:r>
      <w:r w:rsidR="00CB411D" w:rsidRPr="009A21C0">
        <w:rPr>
          <w:rFonts w:ascii="Verdana" w:eastAsia="Times New Roman" w:hAnsi="Verdana"/>
          <w:sz w:val="18"/>
          <w:szCs w:val="18"/>
          <w:lang w:val="es-MX"/>
        </w:rPr>
        <w:t xml:space="preserve">Se proporcionarán copias de la licitación con </w:t>
      </w:r>
      <w:r w:rsidR="009A21C0" w:rsidRPr="009A21C0">
        <w:rPr>
          <w:rFonts w:ascii="Verdana" w:eastAsia="Times New Roman" w:hAnsi="Verdana"/>
          <w:sz w:val="18"/>
          <w:szCs w:val="18"/>
          <w:lang w:val="es-MX"/>
        </w:rPr>
        <w:t>los estimados a</w:t>
      </w:r>
      <w:r w:rsidR="009A21C0">
        <w:rPr>
          <w:rFonts w:ascii="Verdana" w:eastAsia="Times New Roman" w:hAnsi="Verdana"/>
          <w:sz w:val="18"/>
          <w:szCs w:val="18"/>
          <w:lang w:val="es-MX"/>
        </w:rPr>
        <w:t xml:space="preserve"> los propietarios </w:t>
      </w:r>
      <w:r w:rsidR="00C60F61">
        <w:rPr>
          <w:rFonts w:ascii="Verdana" w:eastAsia="Times New Roman" w:hAnsi="Verdana"/>
          <w:sz w:val="18"/>
          <w:szCs w:val="18"/>
          <w:lang w:val="es-MX"/>
        </w:rPr>
        <w:t>bajo petición.</w:t>
      </w:r>
      <w:r w:rsidR="000223DE" w:rsidRPr="00C60F61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5451CA39" w14:textId="77777777" w:rsidR="008428FD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275228D6" w14:textId="771ED11E" w:rsidR="00670A06" w:rsidRDefault="004C2F82" w:rsidP="00670A06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>
        <w:rPr>
          <w:rFonts w:ascii="Verdana" w:eastAsia="Times New Roman" w:hAnsi="Verdana"/>
          <w:sz w:val="18"/>
          <w:szCs w:val="18"/>
          <w:lang w:val="es-MX"/>
        </w:rPr>
        <w:t xml:space="preserve">Una vez aprobado el proyecto por el postulante, el Especialista de Rehabilitación de Viviendas </w:t>
      </w:r>
      <w:r w:rsidR="00924B81">
        <w:rPr>
          <w:rFonts w:ascii="Verdana" w:eastAsia="Times New Roman" w:hAnsi="Verdana"/>
          <w:sz w:val="18"/>
          <w:szCs w:val="18"/>
          <w:lang w:val="es-MX"/>
        </w:rPr>
        <w:t xml:space="preserve">finalizará el proceso de licitación del proyecto, en conformidad a las Leyes Generales de </w:t>
      </w:r>
      <w:r w:rsidR="004C60F9">
        <w:rPr>
          <w:rFonts w:ascii="Verdana" w:eastAsia="Times New Roman" w:hAnsi="Verdana"/>
          <w:sz w:val="18"/>
          <w:szCs w:val="18"/>
          <w:lang w:val="es-MX"/>
        </w:rPr>
        <w:t>Massachusetts (</w:t>
      </w:r>
      <w:r w:rsidR="00AE21A1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MGL por sus siglas en </w:t>
      </w:r>
      <w:r w:rsidR="004C60F9">
        <w:rPr>
          <w:rFonts w:ascii="Verdana" w:eastAsia="Times New Roman" w:hAnsi="Verdana"/>
          <w:i/>
          <w:iCs/>
          <w:sz w:val="18"/>
          <w:szCs w:val="18"/>
          <w:lang w:val="es-MX"/>
        </w:rPr>
        <w:t>inglés</w:t>
      </w:r>
      <w:r w:rsidR="00AE21A1">
        <w:rPr>
          <w:rFonts w:ascii="Verdana" w:eastAsia="Times New Roman" w:hAnsi="Verdana"/>
          <w:i/>
          <w:iCs/>
          <w:sz w:val="18"/>
          <w:szCs w:val="18"/>
          <w:lang w:val="es-MX"/>
        </w:rPr>
        <w:t xml:space="preserve">) </w:t>
      </w:r>
      <w:r w:rsidR="00AE21A1">
        <w:rPr>
          <w:rFonts w:ascii="Verdana" w:eastAsia="Times New Roman" w:hAnsi="Verdana"/>
          <w:sz w:val="18"/>
          <w:szCs w:val="18"/>
          <w:lang w:val="es-MX"/>
        </w:rPr>
        <w:t xml:space="preserve">Capitulo 149 </w:t>
      </w:r>
      <w:r w:rsidR="00670A06">
        <w:rPr>
          <w:rFonts w:ascii="Verdana" w:eastAsia="Times New Roman" w:hAnsi="Verdana"/>
          <w:sz w:val="18"/>
          <w:szCs w:val="18"/>
          <w:lang w:val="es-MX"/>
        </w:rPr>
        <w:t>en materia de la rehabilitación de viviendas.</w:t>
      </w:r>
    </w:p>
    <w:p w14:paraId="7C9F51AF" w14:textId="77777777" w:rsidR="00FB6E57" w:rsidRDefault="00FB6E57" w:rsidP="00670A06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33C0BB13" w14:textId="7CC1861D" w:rsidR="00FB6E57" w:rsidRPr="00834F91" w:rsidRDefault="00FB6E57" w:rsidP="00670A06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>
        <w:rPr>
          <w:rFonts w:ascii="Verdana" w:eastAsia="Times New Roman" w:hAnsi="Verdana"/>
          <w:sz w:val="18"/>
          <w:szCs w:val="18"/>
          <w:lang w:val="es-MX"/>
        </w:rPr>
        <w:t>Los contratos se</w:t>
      </w:r>
      <w:r w:rsidR="00372998">
        <w:rPr>
          <w:rFonts w:ascii="Verdana" w:eastAsia="Times New Roman" w:hAnsi="Verdana"/>
          <w:sz w:val="18"/>
          <w:szCs w:val="18"/>
          <w:lang w:val="es-MX"/>
        </w:rPr>
        <w:t>r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án </w:t>
      </w:r>
      <w:r w:rsidR="00372998">
        <w:rPr>
          <w:rFonts w:ascii="Verdana" w:eastAsia="Times New Roman" w:hAnsi="Verdana"/>
          <w:sz w:val="18"/>
          <w:szCs w:val="18"/>
          <w:lang w:val="es-MX"/>
        </w:rPr>
        <w:t xml:space="preserve">otorgados al licitador </w:t>
      </w:r>
      <w:r w:rsidR="00834F91">
        <w:rPr>
          <w:rFonts w:ascii="Verdana" w:eastAsia="Times New Roman" w:hAnsi="Verdana"/>
          <w:sz w:val="18"/>
          <w:szCs w:val="18"/>
          <w:lang w:val="es-MX"/>
        </w:rPr>
        <w:t>cualificado más bajo según lo determina</w:t>
      </w:r>
      <w:r w:rsidR="00043248">
        <w:rPr>
          <w:rFonts w:ascii="Verdana" w:eastAsia="Times New Roman" w:hAnsi="Verdana"/>
          <w:sz w:val="18"/>
          <w:szCs w:val="18"/>
          <w:lang w:val="es-MX"/>
        </w:rPr>
        <w:t xml:space="preserve">do por el proceso de concurso para la </w:t>
      </w:r>
      <w:r w:rsidR="00E85C41">
        <w:rPr>
          <w:rFonts w:ascii="Verdana" w:eastAsia="Times New Roman" w:hAnsi="Verdana"/>
          <w:sz w:val="18"/>
          <w:szCs w:val="18"/>
          <w:lang w:val="es-MX"/>
        </w:rPr>
        <w:t xml:space="preserve">finca raíz en cuestión, si así lo aprobara el propietario de la propiedad.  </w:t>
      </w:r>
    </w:p>
    <w:p w14:paraId="60C7E065" w14:textId="65D1C231" w:rsidR="007D5E0E" w:rsidRPr="00834F91" w:rsidRDefault="007D5E0E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834F91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6EF86DE9" w14:textId="77777777" w:rsidR="008428FD" w:rsidRPr="00834F91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1E7C7F18" w14:textId="77777777" w:rsidR="00104A34" w:rsidRDefault="00104A34" w:rsidP="00191ED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2A97B90B" w14:textId="64AEBC59" w:rsidR="006D66DA" w:rsidRPr="00191EDD" w:rsidRDefault="00FB4E3A" w:rsidP="00191ED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FB4E3A">
        <w:rPr>
          <w:rFonts w:ascii="Verdana" w:eastAsia="Times New Roman" w:hAnsi="Verdana"/>
          <w:sz w:val="18"/>
          <w:szCs w:val="18"/>
          <w:lang w:val="es-MX"/>
        </w:rPr>
        <w:lastRenderedPageBreak/>
        <w:t xml:space="preserve">Los contratistas </w:t>
      </w:r>
      <w:r w:rsidR="007B38CF" w:rsidRPr="00FB4E3A">
        <w:rPr>
          <w:rFonts w:ascii="Verdana" w:eastAsia="Times New Roman" w:hAnsi="Verdana"/>
          <w:sz w:val="18"/>
          <w:szCs w:val="18"/>
          <w:lang w:val="es-MX"/>
        </w:rPr>
        <w:t>debe</w:t>
      </w:r>
      <w:r w:rsidR="007B38CF">
        <w:rPr>
          <w:rFonts w:ascii="Verdana" w:eastAsia="Times New Roman" w:hAnsi="Verdana"/>
          <w:sz w:val="18"/>
          <w:szCs w:val="18"/>
          <w:lang w:val="es-MX"/>
        </w:rPr>
        <w:t>rá</w:t>
      </w:r>
      <w:r w:rsidR="007B38CF" w:rsidRPr="00FB4E3A">
        <w:rPr>
          <w:rFonts w:ascii="Verdana" w:eastAsia="Times New Roman" w:hAnsi="Verdana"/>
          <w:sz w:val="18"/>
          <w:szCs w:val="18"/>
          <w:lang w:val="es-MX"/>
        </w:rPr>
        <w:t>n</w:t>
      </w:r>
      <w:r w:rsidRPr="00FB4E3A">
        <w:rPr>
          <w:rFonts w:ascii="Verdana" w:eastAsia="Times New Roman" w:hAnsi="Verdana"/>
          <w:sz w:val="18"/>
          <w:szCs w:val="18"/>
          <w:lang w:val="es-MX"/>
        </w:rPr>
        <w:t xml:space="preserve"> cumplir c</w:t>
      </w:r>
      <w:r>
        <w:rPr>
          <w:rFonts w:ascii="Verdana" w:eastAsia="Times New Roman" w:hAnsi="Verdana"/>
          <w:sz w:val="18"/>
          <w:szCs w:val="18"/>
          <w:lang w:val="es-MX"/>
        </w:rPr>
        <w:t>on todo</w:t>
      </w:r>
      <w:r w:rsidR="007B38CF">
        <w:rPr>
          <w:rFonts w:ascii="Verdana" w:eastAsia="Times New Roman" w:hAnsi="Verdana"/>
          <w:sz w:val="18"/>
          <w:szCs w:val="18"/>
          <w:lang w:val="es-MX"/>
        </w:rPr>
        <w:t xml:space="preserve">s los permisos estatales y locales, y solo </w:t>
      </w:r>
      <w:proofErr w:type="gramStart"/>
      <w:r w:rsidR="007B38CF">
        <w:rPr>
          <w:rFonts w:ascii="Verdana" w:eastAsia="Times New Roman" w:hAnsi="Verdana"/>
          <w:sz w:val="18"/>
          <w:szCs w:val="18"/>
          <w:lang w:val="es-MX"/>
        </w:rPr>
        <w:t>comenzaran</w:t>
      </w:r>
      <w:proofErr w:type="gramEnd"/>
      <w:r w:rsidR="007B38CF">
        <w:rPr>
          <w:rFonts w:ascii="Verdana" w:eastAsia="Times New Roman" w:hAnsi="Verdana"/>
          <w:sz w:val="18"/>
          <w:szCs w:val="18"/>
          <w:lang w:val="es-MX"/>
        </w:rPr>
        <w:t xml:space="preserve"> la obra una vez </w:t>
      </w:r>
      <w:r w:rsidR="00AE2B67">
        <w:rPr>
          <w:rFonts w:ascii="Verdana" w:eastAsia="Times New Roman" w:hAnsi="Verdana"/>
          <w:sz w:val="18"/>
          <w:szCs w:val="18"/>
          <w:lang w:val="es-MX"/>
        </w:rPr>
        <w:t xml:space="preserve">reciban el aviso de proceder por escrito del Departamento de Planificación y Desarrollo.  </w:t>
      </w:r>
      <w:r w:rsidR="00AE2B67" w:rsidRPr="00B44188">
        <w:rPr>
          <w:rFonts w:ascii="Verdana" w:eastAsia="Times New Roman" w:hAnsi="Verdana"/>
          <w:sz w:val="18"/>
          <w:szCs w:val="18"/>
          <w:lang w:val="es-MX"/>
        </w:rPr>
        <w:t xml:space="preserve">Para garantizar el cumplimiento </w:t>
      </w:r>
      <w:r w:rsidR="00B44188" w:rsidRPr="00B44188">
        <w:rPr>
          <w:rFonts w:ascii="Verdana" w:eastAsia="Times New Roman" w:hAnsi="Verdana"/>
          <w:sz w:val="18"/>
          <w:szCs w:val="18"/>
          <w:lang w:val="es-MX"/>
        </w:rPr>
        <w:t>del contrato y el alcance d</w:t>
      </w:r>
      <w:r w:rsidR="00B44188">
        <w:rPr>
          <w:rFonts w:ascii="Verdana" w:eastAsia="Times New Roman" w:hAnsi="Verdana"/>
          <w:sz w:val="18"/>
          <w:szCs w:val="18"/>
          <w:lang w:val="es-MX"/>
        </w:rPr>
        <w:t xml:space="preserve">e trabajo, el personal del </w:t>
      </w:r>
      <w:r w:rsidR="00340421">
        <w:rPr>
          <w:rFonts w:ascii="Verdana" w:eastAsia="Times New Roman" w:hAnsi="Verdana"/>
          <w:sz w:val="18"/>
          <w:szCs w:val="18"/>
          <w:lang w:val="es-MX"/>
        </w:rPr>
        <w:t>programa periódicamente</w:t>
      </w:r>
      <w:r w:rsidR="00B44188">
        <w:rPr>
          <w:rFonts w:ascii="Verdana" w:eastAsia="Times New Roman" w:hAnsi="Verdana"/>
          <w:sz w:val="18"/>
          <w:szCs w:val="18"/>
          <w:lang w:val="es-MX"/>
        </w:rPr>
        <w:t xml:space="preserve"> realizará inspecciones </w:t>
      </w:r>
      <w:r w:rsidR="00340421">
        <w:rPr>
          <w:rFonts w:ascii="Verdana" w:eastAsia="Times New Roman" w:hAnsi="Verdana"/>
          <w:sz w:val="18"/>
          <w:szCs w:val="18"/>
          <w:lang w:val="es-MX"/>
        </w:rPr>
        <w:t xml:space="preserve">de la propiedad.  </w:t>
      </w:r>
      <w:r w:rsidR="006D66DA" w:rsidRPr="00191EDD">
        <w:rPr>
          <w:rFonts w:ascii="Verdana" w:eastAsia="Times New Roman" w:hAnsi="Verdana"/>
          <w:sz w:val="18"/>
          <w:szCs w:val="18"/>
          <w:lang w:val="es-MX"/>
        </w:rPr>
        <w:t xml:space="preserve">  </w:t>
      </w:r>
    </w:p>
    <w:p w14:paraId="19A29345" w14:textId="77777777" w:rsidR="008428FD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3F71A4B9" w14:textId="77777777" w:rsidR="00191EDD" w:rsidRDefault="00191ED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p w14:paraId="0CF8815B" w14:textId="5785C8BB" w:rsidR="008428FD" w:rsidRPr="00644BD4" w:rsidRDefault="00191EDD" w:rsidP="00370A17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  <w:r w:rsidRPr="00191EDD">
        <w:rPr>
          <w:rFonts w:ascii="Verdana" w:eastAsia="Times New Roman" w:hAnsi="Verdana"/>
          <w:sz w:val="18"/>
          <w:szCs w:val="18"/>
          <w:lang w:val="es-MX"/>
        </w:rPr>
        <w:t xml:space="preserve">Una vez </w:t>
      </w:r>
      <w:r w:rsidR="004B1ED5">
        <w:rPr>
          <w:rFonts w:ascii="Verdana" w:eastAsia="Times New Roman" w:hAnsi="Verdana"/>
          <w:sz w:val="18"/>
          <w:szCs w:val="18"/>
          <w:lang w:val="es-MX"/>
        </w:rPr>
        <w:t>finalizado</w:t>
      </w:r>
      <w:r w:rsidRPr="00191EDD">
        <w:rPr>
          <w:rFonts w:ascii="Verdana" w:eastAsia="Times New Roman" w:hAnsi="Verdana"/>
          <w:sz w:val="18"/>
          <w:szCs w:val="18"/>
          <w:lang w:val="es-MX"/>
        </w:rPr>
        <w:t xml:space="preserve"> e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l proyecto, el </w:t>
      </w:r>
      <w:r w:rsidR="004E1A82">
        <w:rPr>
          <w:rFonts w:ascii="Verdana" w:eastAsia="Times New Roman" w:hAnsi="Verdana"/>
          <w:sz w:val="18"/>
          <w:szCs w:val="18"/>
          <w:lang w:val="es-MX"/>
        </w:rPr>
        <w:t>i</w:t>
      </w:r>
      <w:r>
        <w:rPr>
          <w:rFonts w:ascii="Verdana" w:eastAsia="Times New Roman" w:hAnsi="Verdana"/>
          <w:sz w:val="18"/>
          <w:szCs w:val="18"/>
          <w:lang w:val="es-MX"/>
        </w:rPr>
        <w:t xml:space="preserve">nspector de </w:t>
      </w:r>
      <w:r w:rsidR="00C129B5">
        <w:rPr>
          <w:rFonts w:ascii="Verdana" w:eastAsia="Times New Roman" w:hAnsi="Verdana"/>
          <w:sz w:val="18"/>
          <w:szCs w:val="18"/>
          <w:lang w:val="es-MX"/>
        </w:rPr>
        <w:t xml:space="preserve">pinturas con base de plomo </w:t>
      </w:r>
      <w:r w:rsidR="004B1ED5">
        <w:rPr>
          <w:rFonts w:ascii="Verdana" w:eastAsia="Times New Roman" w:hAnsi="Verdana"/>
          <w:sz w:val="18"/>
          <w:szCs w:val="18"/>
          <w:lang w:val="es-MX"/>
        </w:rPr>
        <w:t xml:space="preserve">y el </w:t>
      </w:r>
      <w:r w:rsidR="004E1A82">
        <w:rPr>
          <w:rFonts w:ascii="Verdana" w:eastAsia="Times New Roman" w:hAnsi="Verdana"/>
          <w:sz w:val="18"/>
          <w:szCs w:val="18"/>
          <w:lang w:val="es-MX"/>
        </w:rPr>
        <w:t>e</w:t>
      </w:r>
      <w:r w:rsidR="004B1ED5">
        <w:rPr>
          <w:rFonts w:ascii="Verdana" w:eastAsia="Times New Roman" w:hAnsi="Verdana"/>
          <w:sz w:val="18"/>
          <w:szCs w:val="18"/>
          <w:lang w:val="es-MX"/>
        </w:rPr>
        <w:t xml:space="preserve">specialista de </w:t>
      </w:r>
      <w:r w:rsidR="004E1A82">
        <w:rPr>
          <w:rFonts w:ascii="Verdana" w:eastAsia="Times New Roman" w:hAnsi="Verdana"/>
          <w:sz w:val="18"/>
          <w:szCs w:val="18"/>
          <w:lang w:val="es-MX"/>
        </w:rPr>
        <w:t>rehabilitación de viviendas</w:t>
      </w:r>
      <w:r w:rsidR="004B1ED5">
        <w:rPr>
          <w:rFonts w:ascii="Verdana" w:eastAsia="Times New Roman" w:hAnsi="Verdana"/>
          <w:sz w:val="18"/>
          <w:szCs w:val="18"/>
          <w:lang w:val="es-MX"/>
        </w:rPr>
        <w:t xml:space="preserve"> realizar</w:t>
      </w:r>
      <w:r w:rsidR="00B54079">
        <w:rPr>
          <w:rFonts w:ascii="Verdana" w:eastAsia="Times New Roman" w:hAnsi="Verdana"/>
          <w:sz w:val="18"/>
          <w:szCs w:val="18"/>
          <w:lang w:val="es-MX"/>
        </w:rPr>
        <w:t xml:space="preserve">an </w:t>
      </w:r>
      <w:r w:rsidR="00C216B6">
        <w:rPr>
          <w:rFonts w:ascii="Verdana" w:eastAsia="Times New Roman" w:hAnsi="Verdana"/>
          <w:sz w:val="18"/>
          <w:szCs w:val="18"/>
          <w:lang w:val="es-MX"/>
        </w:rPr>
        <w:t xml:space="preserve">la inspección de final de la propiedad.  </w:t>
      </w:r>
      <w:r w:rsidR="00C216B6" w:rsidRPr="00370A17">
        <w:rPr>
          <w:rFonts w:ascii="Verdana" w:eastAsia="Times New Roman" w:hAnsi="Verdana"/>
          <w:sz w:val="18"/>
          <w:szCs w:val="18"/>
          <w:lang w:val="es-MX"/>
        </w:rPr>
        <w:t>Los pag</w:t>
      </w:r>
      <w:r w:rsidR="00370A17" w:rsidRPr="00370A17">
        <w:rPr>
          <w:rFonts w:ascii="Verdana" w:eastAsia="Times New Roman" w:hAnsi="Verdana"/>
          <w:sz w:val="18"/>
          <w:szCs w:val="18"/>
          <w:lang w:val="es-MX"/>
        </w:rPr>
        <w:t xml:space="preserve">os finales para el contratista se </w:t>
      </w:r>
      <w:proofErr w:type="gramStart"/>
      <w:r w:rsidR="00370A17" w:rsidRPr="00370A17">
        <w:rPr>
          <w:rFonts w:ascii="Verdana" w:eastAsia="Times New Roman" w:hAnsi="Verdana"/>
          <w:sz w:val="18"/>
          <w:szCs w:val="18"/>
          <w:lang w:val="es-MX"/>
        </w:rPr>
        <w:t>efectuaran</w:t>
      </w:r>
      <w:proofErr w:type="gramEnd"/>
      <w:r w:rsidR="00370A17" w:rsidRPr="00370A17">
        <w:rPr>
          <w:rFonts w:ascii="Verdana" w:eastAsia="Times New Roman" w:hAnsi="Verdana"/>
          <w:sz w:val="18"/>
          <w:szCs w:val="18"/>
          <w:lang w:val="es-MX"/>
        </w:rPr>
        <w:t xml:space="preserve"> tras las i</w:t>
      </w:r>
      <w:r w:rsidR="00370A17">
        <w:rPr>
          <w:rFonts w:ascii="Verdana" w:eastAsia="Times New Roman" w:hAnsi="Verdana"/>
          <w:sz w:val="18"/>
          <w:szCs w:val="18"/>
          <w:lang w:val="es-MX"/>
        </w:rPr>
        <w:t xml:space="preserve">nspecciones finales y con aprobación por escrito del propietario de la propiedad.  </w:t>
      </w:r>
    </w:p>
    <w:p w14:paraId="348737E2" w14:textId="77777777" w:rsidR="008428FD" w:rsidRPr="00644BD4" w:rsidRDefault="008428FD" w:rsidP="008428FD">
      <w:pPr>
        <w:spacing w:after="0" w:line="240" w:lineRule="auto"/>
        <w:rPr>
          <w:rFonts w:ascii="Verdana" w:eastAsia="Times New Roman" w:hAnsi="Verdana"/>
          <w:sz w:val="18"/>
          <w:szCs w:val="18"/>
          <w:lang w:val="es-MX"/>
        </w:rPr>
      </w:pPr>
    </w:p>
    <w:sectPr w:rsidR="008428FD" w:rsidRPr="00644BD4" w:rsidSect="00104A34">
      <w:pgSz w:w="12240" w:h="15840"/>
      <w:pgMar w:top="63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930"/>
    <w:multiLevelType w:val="hybridMultilevel"/>
    <w:tmpl w:val="C15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21CE"/>
    <w:multiLevelType w:val="hybridMultilevel"/>
    <w:tmpl w:val="18525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A4BB5"/>
    <w:multiLevelType w:val="hybridMultilevel"/>
    <w:tmpl w:val="465E0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ED7B84"/>
    <w:multiLevelType w:val="hybridMultilevel"/>
    <w:tmpl w:val="D33E7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D6AB6"/>
    <w:multiLevelType w:val="hybridMultilevel"/>
    <w:tmpl w:val="2F1A84F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0964886"/>
    <w:multiLevelType w:val="hybridMultilevel"/>
    <w:tmpl w:val="1E74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6CF7"/>
    <w:multiLevelType w:val="hybridMultilevel"/>
    <w:tmpl w:val="3496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62607"/>
    <w:multiLevelType w:val="hybridMultilevel"/>
    <w:tmpl w:val="16B4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59722">
    <w:abstractNumId w:val="4"/>
  </w:num>
  <w:num w:numId="2" w16cid:durableId="835002274">
    <w:abstractNumId w:val="2"/>
  </w:num>
  <w:num w:numId="3" w16cid:durableId="831336596">
    <w:abstractNumId w:val="0"/>
  </w:num>
  <w:num w:numId="4" w16cid:durableId="1481926434">
    <w:abstractNumId w:val="1"/>
  </w:num>
  <w:num w:numId="5" w16cid:durableId="1628929341">
    <w:abstractNumId w:val="5"/>
  </w:num>
  <w:num w:numId="6" w16cid:durableId="1565071016">
    <w:abstractNumId w:val="6"/>
  </w:num>
  <w:num w:numId="7" w16cid:durableId="1524242057">
    <w:abstractNumId w:val="7"/>
  </w:num>
  <w:num w:numId="8" w16cid:durableId="71666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5"/>
    <w:rsid w:val="000200AD"/>
    <w:rsid w:val="00020B00"/>
    <w:rsid w:val="000223DE"/>
    <w:rsid w:val="00032985"/>
    <w:rsid w:val="00043248"/>
    <w:rsid w:val="00057336"/>
    <w:rsid w:val="00060770"/>
    <w:rsid w:val="00061767"/>
    <w:rsid w:val="0006457E"/>
    <w:rsid w:val="00064D57"/>
    <w:rsid w:val="00080A0A"/>
    <w:rsid w:val="00080CD1"/>
    <w:rsid w:val="0008434F"/>
    <w:rsid w:val="0008470F"/>
    <w:rsid w:val="00090773"/>
    <w:rsid w:val="000A5575"/>
    <w:rsid w:val="000A61CB"/>
    <w:rsid w:val="000A7987"/>
    <w:rsid w:val="000B7496"/>
    <w:rsid w:val="000C4871"/>
    <w:rsid w:val="000C7C55"/>
    <w:rsid w:val="000D1135"/>
    <w:rsid w:val="000F260F"/>
    <w:rsid w:val="000F2728"/>
    <w:rsid w:val="00100834"/>
    <w:rsid w:val="00104A34"/>
    <w:rsid w:val="00104ECF"/>
    <w:rsid w:val="00113EE0"/>
    <w:rsid w:val="00117EDF"/>
    <w:rsid w:val="00124C68"/>
    <w:rsid w:val="001266C4"/>
    <w:rsid w:val="00127A0E"/>
    <w:rsid w:val="00134042"/>
    <w:rsid w:val="00137050"/>
    <w:rsid w:val="00150558"/>
    <w:rsid w:val="001666DA"/>
    <w:rsid w:val="00171774"/>
    <w:rsid w:val="0018127E"/>
    <w:rsid w:val="00182776"/>
    <w:rsid w:val="00183D8D"/>
    <w:rsid w:val="00191427"/>
    <w:rsid w:val="00191EDD"/>
    <w:rsid w:val="001B2AAC"/>
    <w:rsid w:val="001B3EB1"/>
    <w:rsid w:val="001B5227"/>
    <w:rsid w:val="001C1560"/>
    <w:rsid w:val="001D689A"/>
    <w:rsid w:val="001E29E0"/>
    <w:rsid w:val="001F5231"/>
    <w:rsid w:val="002007DC"/>
    <w:rsid w:val="00207249"/>
    <w:rsid w:val="00211CCD"/>
    <w:rsid w:val="00212531"/>
    <w:rsid w:val="00221EAF"/>
    <w:rsid w:val="00226F35"/>
    <w:rsid w:val="00230443"/>
    <w:rsid w:val="0023419E"/>
    <w:rsid w:val="002437D5"/>
    <w:rsid w:val="0025094B"/>
    <w:rsid w:val="002571F8"/>
    <w:rsid w:val="00261877"/>
    <w:rsid w:val="00261C94"/>
    <w:rsid w:val="00263F56"/>
    <w:rsid w:val="002676FA"/>
    <w:rsid w:val="00273B03"/>
    <w:rsid w:val="00287D96"/>
    <w:rsid w:val="0029174B"/>
    <w:rsid w:val="0029499E"/>
    <w:rsid w:val="002A40FC"/>
    <w:rsid w:val="002A4F95"/>
    <w:rsid w:val="002C1E6A"/>
    <w:rsid w:val="002C2146"/>
    <w:rsid w:val="002D19D0"/>
    <w:rsid w:val="002D60A0"/>
    <w:rsid w:val="002E0609"/>
    <w:rsid w:val="002E351C"/>
    <w:rsid w:val="002E38D3"/>
    <w:rsid w:val="002E5EFC"/>
    <w:rsid w:val="002F09AF"/>
    <w:rsid w:val="002F1CC5"/>
    <w:rsid w:val="002F2B2A"/>
    <w:rsid w:val="002F3467"/>
    <w:rsid w:val="00315970"/>
    <w:rsid w:val="0032364B"/>
    <w:rsid w:val="003253FD"/>
    <w:rsid w:val="00326858"/>
    <w:rsid w:val="00340421"/>
    <w:rsid w:val="0034503A"/>
    <w:rsid w:val="0036511B"/>
    <w:rsid w:val="00370A17"/>
    <w:rsid w:val="00372998"/>
    <w:rsid w:val="003830EB"/>
    <w:rsid w:val="003864F6"/>
    <w:rsid w:val="003871A7"/>
    <w:rsid w:val="00391BF3"/>
    <w:rsid w:val="003946F1"/>
    <w:rsid w:val="003A1D90"/>
    <w:rsid w:val="003E28B7"/>
    <w:rsid w:val="003E31BC"/>
    <w:rsid w:val="003E439D"/>
    <w:rsid w:val="003F7E56"/>
    <w:rsid w:val="0040088E"/>
    <w:rsid w:val="004012F6"/>
    <w:rsid w:val="00426DAF"/>
    <w:rsid w:val="00431FDC"/>
    <w:rsid w:val="00441C88"/>
    <w:rsid w:val="0044392E"/>
    <w:rsid w:val="0047037E"/>
    <w:rsid w:val="00470A72"/>
    <w:rsid w:val="00471A3D"/>
    <w:rsid w:val="004801E2"/>
    <w:rsid w:val="00480C38"/>
    <w:rsid w:val="004858F3"/>
    <w:rsid w:val="004867EC"/>
    <w:rsid w:val="00490AE7"/>
    <w:rsid w:val="004B08B4"/>
    <w:rsid w:val="004B1ED5"/>
    <w:rsid w:val="004C2F82"/>
    <w:rsid w:val="004C60F9"/>
    <w:rsid w:val="004E1A82"/>
    <w:rsid w:val="004E2C37"/>
    <w:rsid w:val="004E482F"/>
    <w:rsid w:val="004E5ECC"/>
    <w:rsid w:val="005017DC"/>
    <w:rsid w:val="00522CDA"/>
    <w:rsid w:val="00523728"/>
    <w:rsid w:val="00550237"/>
    <w:rsid w:val="00572817"/>
    <w:rsid w:val="0057638E"/>
    <w:rsid w:val="0058571E"/>
    <w:rsid w:val="00590399"/>
    <w:rsid w:val="00590985"/>
    <w:rsid w:val="005912BC"/>
    <w:rsid w:val="00593327"/>
    <w:rsid w:val="005977CB"/>
    <w:rsid w:val="005A2B61"/>
    <w:rsid w:val="005B0C94"/>
    <w:rsid w:val="005B4F95"/>
    <w:rsid w:val="005C4CD5"/>
    <w:rsid w:val="005D7016"/>
    <w:rsid w:val="005E1A15"/>
    <w:rsid w:val="005E53BD"/>
    <w:rsid w:val="005F10E8"/>
    <w:rsid w:val="00604F01"/>
    <w:rsid w:val="0060704E"/>
    <w:rsid w:val="0060726B"/>
    <w:rsid w:val="00611FB9"/>
    <w:rsid w:val="006214D8"/>
    <w:rsid w:val="00630963"/>
    <w:rsid w:val="00641B56"/>
    <w:rsid w:val="00644BD4"/>
    <w:rsid w:val="006450B7"/>
    <w:rsid w:val="006452B4"/>
    <w:rsid w:val="006563D7"/>
    <w:rsid w:val="00666BE0"/>
    <w:rsid w:val="00670A06"/>
    <w:rsid w:val="00677B04"/>
    <w:rsid w:val="00680D14"/>
    <w:rsid w:val="00686DB5"/>
    <w:rsid w:val="00696370"/>
    <w:rsid w:val="006A00F8"/>
    <w:rsid w:val="006A3FCD"/>
    <w:rsid w:val="006B179A"/>
    <w:rsid w:val="006B6D28"/>
    <w:rsid w:val="006C2B0D"/>
    <w:rsid w:val="006D15EE"/>
    <w:rsid w:val="006D66DA"/>
    <w:rsid w:val="006E179C"/>
    <w:rsid w:val="006E208F"/>
    <w:rsid w:val="006E3B54"/>
    <w:rsid w:val="006F0B79"/>
    <w:rsid w:val="006F2A08"/>
    <w:rsid w:val="00702409"/>
    <w:rsid w:val="007127EA"/>
    <w:rsid w:val="00713136"/>
    <w:rsid w:val="00723EA4"/>
    <w:rsid w:val="00726FAB"/>
    <w:rsid w:val="007317E2"/>
    <w:rsid w:val="007458ED"/>
    <w:rsid w:val="00760933"/>
    <w:rsid w:val="00761186"/>
    <w:rsid w:val="007658E8"/>
    <w:rsid w:val="00767826"/>
    <w:rsid w:val="0077052A"/>
    <w:rsid w:val="00774B17"/>
    <w:rsid w:val="0078060A"/>
    <w:rsid w:val="007846D1"/>
    <w:rsid w:val="007867EB"/>
    <w:rsid w:val="00787C6A"/>
    <w:rsid w:val="007A5C72"/>
    <w:rsid w:val="007B38CF"/>
    <w:rsid w:val="007B599D"/>
    <w:rsid w:val="007D5E0E"/>
    <w:rsid w:val="007E7004"/>
    <w:rsid w:val="007F3DC5"/>
    <w:rsid w:val="007F43EC"/>
    <w:rsid w:val="007F58E0"/>
    <w:rsid w:val="00800A3B"/>
    <w:rsid w:val="00811466"/>
    <w:rsid w:val="008212CB"/>
    <w:rsid w:val="008222CE"/>
    <w:rsid w:val="008257EB"/>
    <w:rsid w:val="00834170"/>
    <w:rsid w:val="00834F91"/>
    <w:rsid w:val="008374FF"/>
    <w:rsid w:val="008428FD"/>
    <w:rsid w:val="008626F9"/>
    <w:rsid w:val="00862A88"/>
    <w:rsid w:val="0086618C"/>
    <w:rsid w:val="00877D1D"/>
    <w:rsid w:val="00886752"/>
    <w:rsid w:val="008A139F"/>
    <w:rsid w:val="008A155F"/>
    <w:rsid w:val="008A66BA"/>
    <w:rsid w:val="008B5EE7"/>
    <w:rsid w:val="008C4CEA"/>
    <w:rsid w:val="008C75CA"/>
    <w:rsid w:val="008E142A"/>
    <w:rsid w:val="008E25DB"/>
    <w:rsid w:val="008E37DB"/>
    <w:rsid w:val="008E6143"/>
    <w:rsid w:val="008F2A74"/>
    <w:rsid w:val="00903BC4"/>
    <w:rsid w:val="00904712"/>
    <w:rsid w:val="00911CD4"/>
    <w:rsid w:val="00924B81"/>
    <w:rsid w:val="00934FB3"/>
    <w:rsid w:val="00936949"/>
    <w:rsid w:val="00940936"/>
    <w:rsid w:val="00945581"/>
    <w:rsid w:val="009501F0"/>
    <w:rsid w:val="00954CF8"/>
    <w:rsid w:val="00962C55"/>
    <w:rsid w:val="00981C72"/>
    <w:rsid w:val="00984B19"/>
    <w:rsid w:val="00992AAF"/>
    <w:rsid w:val="009971E6"/>
    <w:rsid w:val="009A21C0"/>
    <w:rsid w:val="009A4619"/>
    <w:rsid w:val="009C026D"/>
    <w:rsid w:val="009C3554"/>
    <w:rsid w:val="009C5E7E"/>
    <w:rsid w:val="009D3E75"/>
    <w:rsid w:val="009E2232"/>
    <w:rsid w:val="009F3F1F"/>
    <w:rsid w:val="009F63BE"/>
    <w:rsid w:val="00A12FFB"/>
    <w:rsid w:val="00A14605"/>
    <w:rsid w:val="00A15050"/>
    <w:rsid w:val="00A26DC6"/>
    <w:rsid w:val="00A31B03"/>
    <w:rsid w:val="00A344B6"/>
    <w:rsid w:val="00A354A8"/>
    <w:rsid w:val="00A413DD"/>
    <w:rsid w:val="00A5638D"/>
    <w:rsid w:val="00A6498E"/>
    <w:rsid w:val="00A77BA2"/>
    <w:rsid w:val="00A77C30"/>
    <w:rsid w:val="00A83D7F"/>
    <w:rsid w:val="00AA15D5"/>
    <w:rsid w:val="00AA60B6"/>
    <w:rsid w:val="00AB5540"/>
    <w:rsid w:val="00AB5FFC"/>
    <w:rsid w:val="00AB6C99"/>
    <w:rsid w:val="00AD437B"/>
    <w:rsid w:val="00AD47AD"/>
    <w:rsid w:val="00AD56DB"/>
    <w:rsid w:val="00AD5D41"/>
    <w:rsid w:val="00AE21A1"/>
    <w:rsid w:val="00AE2B67"/>
    <w:rsid w:val="00AE6EF5"/>
    <w:rsid w:val="00B02F6D"/>
    <w:rsid w:val="00B10C50"/>
    <w:rsid w:val="00B1417A"/>
    <w:rsid w:val="00B17A55"/>
    <w:rsid w:val="00B20DD1"/>
    <w:rsid w:val="00B27727"/>
    <w:rsid w:val="00B35C8F"/>
    <w:rsid w:val="00B44188"/>
    <w:rsid w:val="00B4457E"/>
    <w:rsid w:val="00B54079"/>
    <w:rsid w:val="00B77A18"/>
    <w:rsid w:val="00B819F8"/>
    <w:rsid w:val="00B82F7C"/>
    <w:rsid w:val="00B8732F"/>
    <w:rsid w:val="00BA6859"/>
    <w:rsid w:val="00BB5D8D"/>
    <w:rsid w:val="00BD4416"/>
    <w:rsid w:val="00BE4500"/>
    <w:rsid w:val="00BE6E58"/>
    <w:rsid w:val="00BF729C"/>
    <w:rsid w:val="00C03C57"/>
    <w:rsid w:val="00C129B5"/>
    <w:rsid w:val="00C16421"/>
    <w:rsid w:val="00C16739"/>
    <w:rsid w:val="00C216B6"/>
    <w:rsid w:val="00C30A92"/>
    <w:rsid w:val="00C32144"/>
    <w:rsid w:val="00C37EE1"/>
    <w:rsid w:val="00C420F3"/>
    <w:rsid w:val="00C51DF7"/>
    <w:rsid w:val="00C5523A"/>
    <w:rsid w:val="00C60F61"/>
    <w:rsid w:val="00C63190"/>
    <w:rsid w:val="00C839F2"/>
    <w:rsid w:val="00CA286A"/>
    <w:rsid w:val="00CA2DF1"/>
    <w:rsid w:val="00CA7097"/>
    <w:rsid w:val="00CB21D0"/>
    <w:rsid w:val="00CB2A8C"/>
    <w:rsid w:val="00CB411D"/>
    <w:rsid w:val="00CB7754"/>
    <w:rsid w:val="00CC3E05"/>
    <w:rsid w:val="00CC4F1F"/>
    <w:rsid w:val="00CD2948"/>
    <w:rsid w:val="00CD78C7"/>
    <w:rsid w:val="00CF11AA"/>
    <w:rsid w:val="00CF12EE"/>
    <w:rsid w:val="00CF2E8A"/>
    <w:rsid w:val="00D003C4"/>
    <w:rsid w:val="00D06348"/>
    <w:rsid w:val="00D07B1F"/>
    <w:rsid w:val="00D147DD"/>
    <w:rsid w:val="00D23231"/>
    <w:rsid w:val="00D23570"/>
    <w:rsid w:val="00D300D2"/>
    <w:rsid w:val="00D307B1"/>
    <w:rsid w:val="00D4234A"/>
    <w:rsid w:val="00D46D59"/>
    <w:rsid w:val="00D601E8"/>
    <w:rsid w:val="00D6121D"/>
    <w:rsid w:val="00D65F00"/>
    <w:rsid w:val="00D868B0"/>
    <w:rsid w:val="00D9543D"/>
    <w:rsid w:val="00D95A9D"/>
    <w:rsid w:val="00DA60F1"/>
    <w:rsid w:val="00DB63B9"/>
    <w:rsid w:val="00DC2B8B"/>
    <w:rsid w:val="00DE07C9"/>
    <w:rsid w:val="00DE6D18"/>
    <w:rsid w:val="00DF183B"/>
    <w:rsid w:val="00DF314F"/>
    <w:rsid w:val="00DF331A"/>
    <w:rsid w:val="00E14021"/>
    <w:rsid w:val="00E15C65"/>
    <w:rsid w:val="00E2516A"/>
    <w:rsid w:val="00E320DC"/>
    <w:rsid w:val="00E4347D"/>
    <w:rsid w:val="00E478D6"/>
    <w:rsid w:val="00E6259F"/>
    <w:rsid w:val="00E64EA2"/>
    <w:rsid w:val="00E65C83"/>
    <w:rsid w:val="00E83767"/>
    <w:rsid w:val="00E850BE"/>
    <w:rsid w:val="00E85C41"/>
    <w:rsid w:val="00E9702A"/>
    <w:rsid w:val="00EA0987"/>
    <w:rsid w:val="00EA10E5"/>
    <w:rsid w:val="00EA56ED"/>
    <w:rsid w:val="00EA7C79"/>
    <w:rsid w:val="00EB0C4A"/>
    <w:rsid w:val="00EE572C"/>
    <w:rsid w:val="00EF1F8A"/>
    <w:rsid w:val="00EF7D85"/>
    <w:rsid w:val="00F00045"/>
    <w:rsid w:val="00F06E74"/>
    <w:rsid w:val="00F110ED"/>
    <w:rsid w:val="00F4093D"/>
    <w:rsid w:val="00F5446A"/>
    <w:rsid w:val="00F55091"/>
    <w:rsid w:val="00F61E30"/>
    <w:rsid w:val="00F65002"/>
    <w:rsid w:val="00F65F66"/>
    <w:rsid w:val="00F666BA"/>
    <w:rsid w:val="00F812B5"/>
    <w:rsid w:val="00F8242B"/>
    <w:rsid w:val="00FB072E"/>
    <w:rsid w:val="00FB4E3A"/>
    <w:rsid w:val="00FB6E57"/>
    <w:rsid w:val="00FC23DA"/>
    <w:rsid w:val="00FC64E9"/>
    <w:rsid w:val="00FC7553"/>
    <w:rsid w:val="00FD0A0A"/>
    <w:rsid w:val="00FD39BC"/>
    <w:rsid w:val="00FE06D8"/>
    <w:rsid w:val="00FE3AA2"/>
    <w:rsid w:val="00FE4021"/>
    <w:rsid w:val="00FE44C9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261A"/>
  <w15:chartTrackingRefBased/>
  <w15:docId w15:val="{B1F9EA1B-116B-4CB7-B6A4-6118463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00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0045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0045"/>
    <w:pPr>
      <w:spacing w:after="100" w:afterAutospacing="1" w:line="240" w:lineRule="auto"/>
    </w:pPr>
    <w:rPr>
      <w:rFonts w:ascii="Verdana" w:eastAsia="Times New Roman" w:hAnsi="Verdana"/>
      <w:sz w:val="18"/>
      <w:szCs w:val="18"/>
    </w:rPr>
  </w:style>
  <w:style w:type="character" w:styleId="Strong">
    <w:name w:val="Strong"/>
    <w:uiPriority w:val="22"/>
    <w:qFormat/>
    <w:rsid w:val="00F00045"/>
    <w:rPr>
      <w:b/>
      <w:bCs/>
    </w:rPr>
  </w:style>
  <w:style w:type="character" w:styleId="Hyperlink">
    <w:name w:val="Hyperlink"/>
    <w:uiPriority w:val="99"/>
    <w:semiHidden/>
    <w:unhideWhenUsed/>
    <w:rsid w:val="00F00045"/>
    <w:rPr>
      <w:color w:val="0000FF"/>
      <w:u w:val="single"/>
    </w:rPr>
  </w:style>
  <w:style w:type="table" w:styleId="TableGrid">
    <w:name w:val="Table Grid"/>
    <w:basedOn w:val="TableNormal"/>
    <w:uiPriority w:val="59"/>
    <w:rsid w:val="00C167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60"/>
    <w:rsid w:val="00C420F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C420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A15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B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3B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3E2C-FA7C-4460-93D8-57E330B8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 Galazka</dc:creator>
  <cp:keywords/>
  <cp:lastModifiedBy>Zerina Gace</cp:lastModifiedBy>
  <cp:revision>2</cp:revision>
  <cp:lastPrinted>2020-01-16T18:42:00Z</cp:lastPrinted>
  <dcterms:created xsi:type="dcterms:W3CDTF">2025-06-24T20:34:00Z</dcterms:created>
  <dcterms:modified xsi:type="dcterms:W3CDTF">2025-06-24T20:34:00Z</dcterms:modified>
</cp:coreProperties>
</file>